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B4588" w14:textId="77777777" w:rsidR="00A4449F" w:rsidRPr="00CA627D" w:rsidRDefault="00295F1D" w:rsidP="00CA627D">
      <w:pPr>
        <w:spacing w:line="360" w:lineRule="auto"/>
        <w:rPr>
          <w:rFonts w:ascii="Arial" w:hAnsi="Arial"/>
          <w:b/>
          <w:sz w:val="36"/>
        </w:rPr>
      </w:pPr>
      <w:r>
        <w:rPr>
          <w:rFonts w:ascii="Arial" w:hAnsi="Arial"/>
          <w:b/>
          <w:sz w:val="36"/>
        </w:rPr>
        <w:t>Static ToF Sensor for Automatic Doors</w:t>
      </w:r>
    </w:p>
    <w:p w14:paraId="1D1738D7" w14:textId="77777777" w:rsidR="00295F1D" w:rsidRPr="006077A0" w:rsidRDefault="00295F1D" w:rsidP="00CA627D">
      <w:pPr>
        <w:spacing w:line="360" w:lineRule="auto"/>
        <w:rPr>
          <w:rFonts w:ascii="Arial" w:eastAsia="Calibri" w:hAnsi="Arial" w:cs="Arial"/>
          <w:b/>
          <w:bCs/>
          <w:sz w:val="28"/>
          <w:szCs w:val="28"/>
        </w:rPr>
      </w:pPr>
      <w:r>
        <w:rPr>
          <w:rFonts w:ascii="Arial" w:hAnsi="Arial"/>
          <w:b/>
          <w:sz w:val="28"/>
        </w:rPr>
        <w:t>Safety for All Door Sizes in a Compact Design</w:t>
      </w:r>
    </w:p>
    <w:p w14:paraId="6D2DCBA8" w14:textId="414495A5" w:rsidR="00A4449F" w:rsidRPr="006077A0" w:rsidRDefault="00295F1D" w:rsidP="00CA627D">
      <w:pPr>
        <w:spacing w:line="360" w:lineRule="auto"/>
        <w:rPr>
          <w:rFonts w:ascii="Arial" w:eastAsia="Calibri" w:hAnsi="Arial" w:cs="Arial"/>
          <w:b/>
          <w:bCs/>
        </w:rPr>
      </w:pPr>
      <w:r>
        <w:rPr>
          <w:rFonts w:ascii="Arial" w:hAnsi="Arial"/>
          <w:b/>
        </w:rPr>
        <w:t>The new ShieldScan sees Pepperl+Fuchs implement everything that is technically and economically viable today. The latest technology time-of-flight sensor does not require rotating parts and is contained in a compact housing with an attractive design that can be discreetly accommodated in the corner of a door. The device is suitable for securing automatic doors up to 1800 mm in width.</w:t>
      </w:r>
    </w:p>
    <w:p w14:paraId="10EACC51" w14:textId="77777777" w:rsidR="00A4449F" w:rsidRDefault="007B17A1" w:rsidP="00CA627D">
      <w:pPr>
        <w:spacing w:line="360" w:lineRule="auto"/>
      </w:pPr>
      <w:r>
        <w:t>With an innovative concept and excellent sensor technology, the ShieldScan door sensor not only meets all safety requirements, but also offers numerous features and properties that door manufacturers, fitters, interior designers, and architects are looking for. The ShieldScan® door sensor uses a single compact sensor element to secure all revolving doors up to 1800 mm in width. It uses the superior time-of-flight technology (ToF), which masters even difficult light and ground situations. The solid-state scanner from Pepperl+Fuchs does not require a rotating mirror system, operates silently, and is characterized by high mechanical robustness. The protection field is made up of individual beams, curves in the area of the hinge edge, and provides efficient pinch protection. ShieldScan, which consists only of the housing and cover, is extremely easy to install and requires just one teach-in process. The device remembers the start of a "virtual wall," so that no additional teach-in processes are required in the event of changes in the environment. Degree of protection (IP65) makes it ideal for outdoor use.</w:t>
      </w:r>
    </w:p>
    <w:p w14:paraId="1AAD02A4" w14:textId="77777777" w:rsidR="00A4449F" w:rsidRDefault="00A4449F" w:rsidP="00A4449F">
      <w:r>
        <w:rPr>
          <w:noProof/>
          <w:lang w:val="de-DE" w:eastAsia="de-DE"/>
        </w:rPr>
        <w:drawing>
          <wp:inline distT="0" distB="0" distL="0" distR="0" wp14:anchorId="60A672DE" wp14:editId="6C918DE1">
            <wp:extent cx="3486150" cy="2465535"/>
            <wp:effectExtent l="0" t="0" r="0" b="0"/>
            <wp:docPr id="5" name="Grafik 5" descr="MAC0010295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0010295_cmy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519551" cy="2489157"/>
                    </a:xfrm>
                    <a:prstGeom prst="rect">
                      <a:avLst/>
                    </a:prstGeom>
                    <a:noFill/>
                    <a:ln>
                      <a:noFill/>
                    </a:ln>
                  </pic:spPr>
                </pic:pic>
              </a:graphicData>
            </a:graphic>
          </wp:inline>
        </w:drawing>
      </w:r>
    </w:p>
    <w:p w14:paraId="7A4AFE6E" w14:textId="77777777" w:rsidR="00A4449F" w:rsidRDefault="00A4449F" w:rsidP="00A4449F">
      <w:r w:rsidRPr="00A4449F">
        <w:t>ShieldScan detection area on a double-wing door</w:t>
      </w:r>
    </w:p>
    <w:p w14:paraId="2A0FAC49" w14:textId="77777777" w:rsidR="00A4449F" w:rsidRDefault="00A4449F" w:rsidP="00A4449F">
      <w:r>
        <w:rPr>
          <w:noProof/>
          <w:lang w:val="de-DE" w:eastAsia="de-DE"/>
        </w:rPr>
        <w:lastRenderedPageBreak/>
        <w:drawing>
          <wp:inline distT="0" distB="0" distL="0" distR="0" wp14:anchorId="26FCEBC6" wp14:editId="4FEDC84C">
            <wp:extent cx="4229100" cy="2987334"/>
            <wp:effectExtent l="0" t="0" r="0" b="3810"/>
            <wp:docPr id="4" name="Grafik 4" descr="MAC001034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0010340_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34266" cy="2990983"/>
                    </a:xfrm>
                    <a:prstGeom prst="rect">
                      <a:avLst/>
                    </a:prstGeom>
                    <a:noFill/>
                    <a:ln>
                      <a:noFill/>
                    </a:ln>
                  </pic:spPr>
                </pic:pic>
              </a:graphicData>
            </a:graphic>
          </wp:inline>
        </w:drawing>
      </w:r>
    </w:p>
    <w:p w14:paraId="36513CC5" w14:textId="77777777" w:rsidR="00A4449F" w:rsidRDefault="00A4449F" w:rsidP="00A4449F">
      <w:r w:rsidRPr="00A4449F">
        <w:t>Subtle design</w:t>
      </w:r>
    </w:p>
    <w:p w14:paraId="659519A5" w14:textId="77777777" w:rsidR="00A4449F" w:rsidRDefault="00A4449F" w:rsidP="00A4449F"/>
    <w:p w14:paraId="2405C51B" w14:textId="77777777" w:rsidR="00A4449F" w:rsidRDefault="00A4449F" w:rsidP="00A4449F"/>
    <w:p w14:paraId="0C676172" w14:textId="77777777" w:rsidR="00A4449F" w:rsidRDefault="00A4449F" w:rsidP="00A4449F"/>
    <w:p w14:paraId="75121493" w14:textId="77777777" w:rsidR="00A4449F" w:rsidRDefault="00A4449F" w:rsidP="00A4449F"/>
    <w:p w14:paraId="51AC3427" w14:textId="77777777" w:rsidR="00A4449F" w:rsidRDefault="00A4449F" w:rsidP="00A4449F">
      <w:r>
        <w:rPr>
          <w:noProof/>
          <w:lang w:val="de-DE" w:eastAsia="de-DE"/>
        </w:rPr>
        <w:drawing>
          <wp:inline distT="0" distB="0" distL="0" distR="0" wp14:anchorId="7029DC61" wp14:editId="10F86E1A">
            <wp:extent cx="5753100" cy="1476375"/>
            <wp:effectExtent l="0" t="0" r="0" b="9525"/>
            <wp:docPr id="3" name="Grafik 3" descr="MAC0010283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0010283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3100" cy="1476375"/>
                    </a:xfrm>
                    <a:prstGeom prst="rect">
                      <a:avLst/>
                    </a:prstGeom>
                    <a:noFill/>
                    <a:ln>
                      <a:noFill/>
                    </a:ln>
                  </pic:spPr>
                </pic:pic>
              </a:graphicData>
            </a:graphic>
          </wp:inline>
        </w:drawing>
      </w:r>
    </w:p>
    <w:p w14:paraId="5659939C" w14:textId="77777777" w:rsidR="00A4449F" w:rsidRPr="00F13959" w:rsidRDefault="00A4449F" w:rsidP="00A4449F"/>
    <w:p w14:paraId="4580A089" w14:textId="77777777" w:rsidR="00295F1D" w:rsidRPr="00295F1D" w:rsidRDefault="00295F1D" w:rsidP="00295F1D">
      <w:pPr>
        <w:rPr>
          <w:rFonts w:ascii="Arial" w:eastAsia="Calibri" w:hAnsi="Arial" w:cs="Arial"/>
        </w:rPr>
      </w:pPr>
      <w:r>
        <w:br w:type="page"/>
      </w:r>
    </w:p>
    <w:tbl>
      <w:tblPr>
        <w:tblStyle w:val="Tabellenraster1"/>
        <w:tblpPr w:leftFromText="180" w:rightFromText="180" w:vertAnchor="text" w:horzAnchor="margin" w:tblpY="36"/>
        <w:tblW w:w="0" w:type="auto"/>
        <w:tblCellMar>
          <w:top w:w="57" w:type="dxa"/>
          <w:bottom w:w="57" w:type="dxa"/>
        </w:tblCellMar>
        <w:tblLook w:val="04A0" w:firstRow="1" w:lastRow="0" w:firstColumn="1" w:lastColumn="0" w:noHBand="0" w:noVBand="1"/>
      </w:tblPr>
      <w:tblGrid>
        <w:gridCol w:w="2830"/>
        <w:gridCol w:w="6232"/>
      </w:tblGrid>
      <w:tr w:rsidR="00295F1D" w:rsidRPr="00295F1D" w14:paraId="47F7A886" w14:textId="77777777" w:rsidTr="00AF16E7">
        <w:tc>
          <w:tcPr>
            <w:tcW w:w="2830" w:type="dxa"/>
          </w:tcPr>
          <w:p w14:paraId="729B91F1" w14:textId="77777777" w:rsidR="00295F1D" w:rsidRPr="00295F1D" w:rsidRDefault="00295F1D" w:rsidP="00295F1D">
            <w:pPr>
              <w:rPr>
                <w:rFonts w:ascii="Arial" w:eastAsia="Calibri" w:hAnsi="Arial" w:cs="Arial"/>
                <w:b/>
                <w:bCs/>
              </w:rPr>
            </w:pPr>
            <w:r>
              <w:rPr>
                <w:rFonts w:ascii="Arial" w:hAnsi="Arial"/>
                <w:b/>
              </w:rPr>
              <w:lastRenderedPageBreak/>
              <w:t>Author</w:t>
            </w:r>
          </w:p>
        </w:tc>
        <w:tc>
          <w:tcPr>
            <w:tcW w:w="6232" w:type="dxa"/>
          </w:tcPr>
          <w:p w14:paraId="553AB326" w14:textId="77777777" w:rsidR="00295F1D" w:rsidRPr="00295F1D" w:rsidRDefault="00295F1D" w:rsidP="00295F1D">
            <w:pPr>
              <w:rPr>
                <w:rFonts w:ascii="Arial" w:eastAsia="Calibri" w:hAnsi="Arial" w:cs="Arial"/>
              </w:rPr>
            </w:pPr>
            <w:r>
              <w:t>Carsten Roth</w:t>
            </w:r>
          </w:p>
        </w:tc>
      </w:tr>
      <w:tr w:rsidR="00295F1D" w:rsidRPr="00295F1D" w14:paraId="059E7C09" w14:textId="77777777" w:rsidTr="00AF16E7">
        <w:tc>
          <w:tcPr>
            <w:tcW w:w="2830" w:type="dxa"/>
          </w:tcPr>
          <w:p w14:paraId="0308EFDB" w14:textId="77777777" w:rsidR="00295F1D" w:rsidRPr="00295F1D" w:rsidRDefault="00295F1D" w:rsidP="00295F1D">
            <w:pPr>
              <w:rPr>
                <w:rFonts w:ascii="Arial" w:eastAsia="Calibri" w:hAnsi="Arial" w:cs="Arial"/>
                <w:b/>
                <w:bCs/>
              </w:rPr>
            </w:pPr>
            <w:r>
              <w:rPr>
                <w:rFonts w:ascii="Arial" w:hAnsi="Arial"/>
                <w:b/>
              </w:rPr>
              <w:t>Keywords</w:t>
            </w:r>
          </w:p>
        </w:tc>
        <w:tc>
          <w:tcPr>
            <w:tcW w:w="6232" w:type="dxa"/>
          </w:tcPr>
          <w:p w14:paraId="08E64980" w14:textId="77777777" w:rsidR="00295F1D" w:rsidRPr="00CA627D" w:rsidRDefault="00295F1D" w:rsidP="00295F1D">
            <w:pPr>
              <w:rPr>
                <w:rFonts w:ascii="Arial" w:eastAsia="Calibri" w:hAnsi="Arial" w:cs="Arial"/>
              </w:rPr>
            </w:pPr>
            <w:r w:rsidRPr="00CA627D">
              <w:t>Safety sensor, automatic door, time-of-flight sensor</w:t>
            </w:r>
          </w:p>
        </w:tc>
      </w:tr>
      <w:tr w:rsidR="00295F1D" w:rsidRPr="00295F1D" w14:paraId="1A32C6AB" w14:textId="77777777" w:rsidTr="00AF16E7">
        <w:tc>
          <w:tcPr>
            <w:tcW w:w="2830" w:type="dxa"/>
          </w:tcPr>
          <w:p w14:paraId="2C092926" w14:textId="77777777" w:rsidR="00295F1D" w:rsidRPr="00295F1D" w:rsidRDefault="00295F1D" w:rsidP="00295F1D">
            <w:pPr>
              <w:rPr>
                <w:rFonts w:ascii="Arial" w:eastAsia="Calibri" w:hAnsi="Arial" w:cs="Arial"/>
                <w:b/>
                <w:bCs/>
              </w:rPr>
            </w:pPr>
            <w:r>
              <w:rPr>
                <w:rFonts w:ascii="Arial" w:hAnsi="Arial"/>
                <w:b/>
              </w:rPr>
              <w:t>Characters</w:t>
            </w:r>
          </w:p>
        </w:tc>
        <w:tc>
          <w:tcPr>
            <w:tcW w:w="6232" w:type="dxa"/>
          </w:tcPr>
          <w:p w14:paraId="767C50C0" w14:textId="77777777" w:rsidR="00295F1D" w:rsidRPr="00CA627D" w:rsidRDefault="00A4449F" w:rsidP="00295F1D">
            <w:pPr>
              <w:rPr>
                <w:rFonts w:ascii="Arial" w:eastAsia="Calibri" w:hAnsi="Arial" w:cs="Arial"/>
              </w:rPr>
            </w:pPr>
            <w:r w:rsidRPr="00CA627D">
              <w:rPr>
                <w:rFonts w:ascii="Arial" w:hAnsi="Arial"/>
              </w:rPr>
              <w:t>1586</w:t>
            </w:r>
            <w:r w:rsidR="00295F1D" w:rsidRPr="00CA627D">
              <w:rPr>
                <w:rFonts w:ascii="Arial" w:hAnsi="Arial"/>
              </w:rPr>
              <w:t>, including spaces</w:t>
            </w:r>
          </w:p>
        </w:tc>
      </w:tr>
      <w:tr w:rsidR="00295F1D" w:rsidRPr="00295F1D" w14:paraId="25E489E5" w14:textId="77777777" w:rsidTr="00AF16E7">
        <w:tc>
          <w:tcPr>
            <w:tcW w:w="2830" w:type="dxa"/>
          </w:tcPr>
          <w:p w14:paraId="28FC5DC6" w14:textId="77777777" w:rsidR="00295F1D" w:rsidRPr="00295F1D" w:rsidRDefault="00295F1D" w:rsidP="00295F1D">
            <w:pPr>
              <w:rPr>
                <w:rFonts w:ascii="Arial" w:eastAsia="Calibri" w:hAnsi="Arial" w:cs="Arial"/>
                <w:b/>
                <w:bCs/>
              </w:rPr>
            </w:pPr>
            <w:r>
              <w:rPr>
                <w:rFonts w:ascii="Arial" w:hAnsi="Arial"/>
                <w:b/>
              </w:rPr>
              <w:t>Characters in summary</w:t>
            </w:r>
          </w:p>
        </w:tc>
        <w:tc>
          <w:tcPr>
            <w:tcW w:w="6232" w:type="dxa"/>
          </w:tcPr>
          <w:p w14:paraId="74A62BA0" w14:textId="77777777" w:rsidR="00295F1D" w:rsidRPr="00CA627D" w:rsidRDefault="00A4449F" w:rsidP="00295F1D">
            <w:pPr>
              <w:rPr>
                <w:rFonts w:ascii="Arial" w:eastAsia="Calibri" w:hAnsi="Arial" w:cs="Arial"/>
              </w:rPr>
            </w:pPr>
            <w:r w:rsidRPr="00CA627D">
              <w:rPr>
                <w:rFonts w:ascii="Arial" w:hAnsi="Arial"/>
              </w:rPr>
              <w:t>386</w:t>
            </w:r>
            <w:r w:rsidR="00295F1D" w:rsidRPr="00CA627D">
              <w:rPr>
                <w:rFonts w:ascii="Arial" w:hAnsi="Arial"/>
              </w:rPr>
              <w:t>, including spaces</w:t>
            </w:r>
          </w:p>
        </w:tc>
      </w:tr>
    </w:tbl>
    <w:p w14:paraId="4B8AD7E7" w14:textId="77777777" w:rsidR="00475E5B" w:rsidRDefault="00475E5B" w:rsidP="00475E5B">
      <w:pPr>
        <w:rPr>
          <w:rFonts w:ascii="Arial" w:eastAsia="Calibri" w:hAnsi="Arial" w:cs="Arial"/>
        </w:rPr>
      </w:pPr>
    </w:p>
    <w:p w14:paraId="28899E39" w14:textId="77777777" w:rsidR="00E22DA3" w:rsidRDefault="00E22DA3" w:rsidP="00475E5B">
      <w:pPr>
        <w:rPr>
          <w:rFonts w:ascii="Arial" w:eastAsia="Times New Roman" w:hAnsi="Arial" w:cs="Arial"/>
          <w:b/>
          <w:szCs w:val="20"/>
          <w:lang w:eastAsia="de-DE"/>
        </w:rPr>
      </w:pPr>
    </w:p>
    <w:p w14:paraId="4287BA5D" w14:textId="77777777" w:rsidR="00E22DA3" w:rsidRDefault="00E22DA3" w:rsidP="00475E5B">
      <w:pPr>
        <w:rPr>
          <w:rFonts w:ascii="Arial" w:eastAsia="Times New Roman" w:hAnsi="Arial" w:cs="Arial"/>
          <w:b/>
          <w:szCs w:val="20"/>
          <w:lang w:eastAsia="de-DE"/>
        </w:rPr>
      </w:pPr>
    </w:p>
    <w:p w14:paraId="6C054A77" w14:textId="77777777" w:rsidR="00E22DA3" w:rsidRDefault="00E22DA3" w:rsidP="00475E5B">
      <w:pPr>
        <w:rPr>
          <w:rFonts w:ascii="Arial" w:eastAsia="Times New Roman" w:hAnsi="Arial" w:cs="Arial"/>
          <w:b/>
          <w:szCs w:val="20"/>
          <w:lang w:eastAsia="de-DE"/>
        </w:rPr>
      </w:pPr>
    </w:p>
    <w:p w14:paraId="2206986A" w14:textId="77777777" w:rsidR="00E22DA3" w:rsidRDefault="00E22DA3" w:rsidP="00475E5B">
      <w:pPr>
        <w:rPr>
          <w:rFonts w:ascii="Arial" w:eastAsia="Times New Roman" w:hAnsi="Arial" w:cs="Arial"/>
          <w:b/>
          <w:szCs w:val="20"/>
          <w:lang w:eastAsia="de-DE"/>
        </w:rPr>
      </w:pPr>
    </w:p>
    <w:p w14:paraId="7211E49C" w14:textId="77777777" w:rsidR="00A4449F" w:rsidRDefault="00A4449F" w:rsidP="00475E5B">
      <w:pPr>
        <w:rPr>
          <w:rFonts w:ascii="Arial" w:eastAsia="Times New Roman" w:hAnsi="Arial" w:cs="Arial"/>
          <w:b/>
          <w:szCs w:val="20"/>
          <w:lang w:eastAsia="de-DE"/>
        </w:rPr>
      </w:pPr>
    </w:p>
    <w:p w14:paraId="337C272A" w14:textId="77777777" w:rsidR="00A4449F" w:rsidRDefault="00A4449F" w:rsidP="00475E5B">
      <w:pPr>
        <w:rPr>
          <w:rFonts w:ascii="Arial" w:eastAsia="Times New Roman" w:hAnsi="Arial" w:cs="Arial"/>
          <w:b/>
          <w:szCs w:val="20"/>
          <w:lang w:eastAsia="de-DE"/>
        </w:rPr>
      </w:pPr>
    </w:p>
    <w:p w14:paraId="3CF73EB7" w14:textId="77777777" w:rsidR="00A4449F" w:rsidRDefault="00A4449F" w:rsidP="00475E5B">
      <w:pPr>
        <w:rPr>
          <w:rFonts w:ascii="Arial" w:eastAsia="Times New Roman" w:hAnsi="Arial" w:cs="Arial"/>
          <w:b/>
          <w:szCs w:val="20"/>
          <w:lang w:eastAsia="de-DE"/>
        </w:rPr>
      </w:pPr>
    </w:p>
    <w:p w14:paraId="742DBEC1" w14:textId="77777777" w:rsidR="00A4449F" w:rsidRDefault="00A4449F" w:rsidP="00475E5B">
      <w:pPr>
        <w:rPr>
          <w:rFonts w:ascii="Arial" w:eastAsia="Times New Roman" w:hAnsi="Arial" w:cs="Arial"/>
          <w:b/>
          <w:szCs w:val="20"/>
          <w:lang w:eastAsia="de-DE"/>
        </w:rPr>
      </w:pPr>
    </w:p>
    <w:p w14:paraId="19FBEEDF" w14:textId="77777777" w:rsidR="00A4449F" w:rsidRDefault="00A4449F" w:rsidP="00475E5B">
      <w:pPr>
        <w:rPr>
          <w:rFonts w:ascii="Arial" w:eastAsia="Times New Roman" w:hAnsi="Arial" w:cs="Arial"/>
          <w:b/>
          <w:szCs w:val="20"/>
          <w:lang w:eastAsia="de-DE"/>
        </w:rPr>
      </w:pPr>
    </w:p>
    <w:p w14:paraId="7107A51E" w14:textId="77777777" w:rsidR="00A4449F" w:rsidRDefault="00A4449F" w:rsidP="00475E5B">
      <w:pPr>
        <w:rPr>
          <w:rFonts w:ascii="Arial" w:eastAsia="Times New Roman" w:hAnsi="Arial" w:cs="Arial"/>
          <w:b/>
          <w:szCs w:val="20"/>
          <w:lang w:eastAsia="de-DE"/>
        </w:rPr>
      </w:pPr>
    </w:p>
    <w:p w14:paraId="4D56745F" w14:textId="77777777" w:rsidR="00A4449F" w:rsidRDefault="00A4449F" w:rsidP="00475E5B">
      <w:pPr>
        <w:rPr>
          <w:rFonts w:ascii="Arial" w:eastAsia="Times New Roman" w:hAnsi="Arial" w:cs="Arial"/>
          <w:b/>
          <w:szCs w:val="20"/>
          <w:lang w:eastAsia="de-DE"/>
        </w:rPr>
      </w:pPr>
    </w:p>
    <w:p w14:paraId="08BB3FC0" w14:textId="77777777" w:rsidR="00E22DA3" w:rsidRDefault="00E22DA3" w:rsidP="00475E5B">
      <w:pPr>
        <w:rPr>
          <w:rFonts w:ascii="Arial" w:eastAsia="Times New Roman" w:hAnsi="Arial" w:cs="Arial"/>
          <w:b/>
          <w:szCs w:val="20"/>
          <w:lang w:eastAsia="de-DE"/>
        </w:rPr>
      </w:pPr>
    </w:p>
    <w:p w14:paraId="1289570F" w14:textId="77777777" w:rsidR="00E22DA3" w:rsidRDefault="00E22DA3" w:rsidP="00E22DA3">
      <w:pPr>
        <w:rPr>
          <w:rFonts w:ascii="Arial" w:eastAsia="Times New Roman" w:hAnsi="Arial" w:cs="Arial"/>
          <w:b/>
          <w:szCs w:val="20"/>
          <w:lang w:eastAsia="de-DE"/>
        </w:rPr>
      </w:pPr>
    </w:p>
    <w:p w14:paraId="39DD97AB" w14:textId="14DF8378" w:rsidR="00295F1D" w:rsidRPr="00295F1D" w:rsidRDefault="00DB1F85" w:rsidP="00E22DA3">
      <w:pPr>
        <w:rPr>
          <w:rFonts w:ascii="Arial" w:eastAsia="Times New Roman" w:hAnsi="Arial" w:cs="Arial"/>
          <w:b/>
          <w:sz w:val="20"/>
          <w:szCs w:val="20"/>
        </w:rPr>
      </w:pPr>
      <w:r>
        <w:rPr>
          <w:rFonts w:ascii="Arial" w:hAnsi="Arial"/>
          <w:b/>
        </w:rPr>
        <w:t xml:space="preserve">  </w:t>
      </w:r>
      <w:r w:rsidR="00295F1D">
        <w:rPr>
          <w:rFonts w:ascii="Arial" w:hAnsi="Arial"/>
          <w:b/>
        </w:rPr>
        <w:t>Press contact:</w:t>
      </w:r>
    </w:p>
    <w:tbl>
      <w:tblPr>
        <w:tblW w:w="10176" w:type="dxa"/>
        <w:tblLook w:val="01E0" w:firstRow="1" w:lastRow="1" w:firstColumn="1" w:lastColumn="1" w:noHBand="0" w:noVBand="0"/>
      </w:tblPr>
      <w:tblGrid>
        <w:gridCol w:w="5410"/>
        <w:gridCol w:w="4766"/>
      </w:tblGrid>
      <w:tr w:rsidR="00295F1D" w:rsidRPr="007D0C0B" w14:paraId="6635CEC4" w14:textId="77777777" w:rsidTr="00475E5B">
        <w:trPr>
          <w:trHeight w:val="2320"/>
        </w:trPr>
        <w:tc>
          <w:tcPr>
            <w:tcW w:w="5410" w:type="dxa"/>
          </w:tcPr>
          <w:p w14:paraId="05103DF6" w14:textId="77777777" w:rsidR="00295F1D" w:rsidRPr="00295F1D" w:rsidRDefault="00295F1D" w:rsidP="00295F1D">
            <w:pPr>
              <w:spacing w:after="0" w:line="240" w:lineRule="auto"/>
              <w:ind w:right="23"/>
              <w:rPr>
                <w:rFonts w:ascii="Arial" w:eastAsia="Calibri" w:hAnsi="Arial" w:cs="Arial"/>
                <w:b/>
                <w:bCs/>
                <w:szCs w:val="16"/>
              </w:rPr>
            </w:pPr>
            <w:r>
              <w:rPr>
                <w:rFonts w:ascii="Arial" w:hAnsi="Arial"/>
                <w:b/>
              </w:rPr>
              <w:t>Irmtraud Schmitt</w:t>
            </w:r>
          </w:p>
          <w:p w14:paraId="5B25BABE" w14:textId="77777777" w:rsidR="00295F1D" w:rsidRPr="00295F1D" w:rsidRDefault="00295F1D" w:rsidP="00295F1D">
            <w:pPr>
              <w:spacing w:after="0" w:line="240" w:lineRule="auto"/>
              <w:ind w:right="23"/>
              <w:rPr>
                <w:rFonts w:ascii="Arial" w:eastAsia="Calibri" w:hAnsi="Arial" w:cs="Arial"/>
                <w:szCs w:val="16"/>
              </w:rPr>
            </w:pPr>
            <w:r>
              <w:rPr>
                <w:rFonts w:ascii="Arial" w:hAnsi="Arial"/>
              </w:rPr>
              <w:t xml:space="preserve">Public relations officer </w:t>
            </w:r>
          </w:p>
          <w:p w14:paraId="5179E397" w14:textId="77777777" w:rsidR="00295F1D" w:rsidRPr="00295F1D" w:rsidRDefault="00295F1D" w:rsidP="00295F1D">
            <w:pPr>
              <w:spacing w:after="0" w:line="240" w:lineRule="auto"/>
              <w:ind w:right="23"/>
              <w:rPr>
                <w:rFonts w:ascii="Arial" w:eastAsia="Calibri" w:hAnsi="Arial" w:cs="Arial"/>
                <w:szCs w:val="16"/>
                <w:lang w:eastAsia="zh-CN"/>
              </w:rPr>
            </w:pPr>
          </w:p>
          <w:p w14:paraId="4C1CE628"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rPr>
            </w:pPr>
            <w:r>
              <w:rPr>
                <w:rFonts w:ascii="Arial" w:hAnsi="Arial"/>
                <w:color w:val="595959"/>
              </w:rPr>
              <w:t>Pepperl+Fuchs SE</w:t>
            </w:r>
          </w:p>
          <w:p w14:paraId="0BB65F41" w14:textId="77777777" w:rsidR="00295F1D" w:rsidRPr="00CE0808"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CE0808">
              <w:rPr>
                <w:rFonts w:ascii="Arial" w:hAnsi="Arial"/>
                <w:color w:val="595959"/>
                <w:lang w:val="de-DE"/>
              </w:rPr>
              <w:t>Lilienthalstraße 200</w:t>
            </w:r>
          </w:p>
          <w:p w14:paraId="6E710878" w14:textId="77777777" w:rsidR="00295F1D" w:rsidRPr="00CE0808"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CE0808">
              <w:rPr>
                <w:rFonts w:ascii="Arial" w:hAnsi="Arial"/>
                <w:color w:val="595959"/>
                <w:lang w:val="de-DE"/>
              </w:rPr>
              <w:t xml:space="preserve">68307 Mannheim, </w:t>
            </w:r>
            <w:r w:rsidRPr="00CE0808">
              <w:rPr>
                <w:rFonts w:ascii="Arial" w:hAnsi="Arial"/>
                <w:lang w:val="de-DE"/>
              </w:rPr>
              <w:t>Germany</w:t>
            </w:r>
          </w:p>
          <w:p w14:paraId="015EC4DB" w14:textId="77777777" w:rsidR="00295F1D" w:rsidRPr="00CE0808" w:rsidRDefault="00295F1D" w:rsidP="00295F1D">
            <w:pPr>
              <w:spacing w:after="0" w:line="240" w:lineRule="auto"/>
              <w:ind w:right="23"/>
              <w:rPr>
                <w:rFonts w:ascii="Arial" w:eastAsia="Calibri" w:hAnsi="Arial" w:cs="Arial"/>
                <w:szCs w:val="16"/>
                <w:lang w:val="de-DE" w:eastAsia="de-DE"/>
              </w:rPr>
            </w:pPr>
          </w:p>
          <w:p w14:paraId="2BB2B058" w14:textId="612E933D" w:rsidR="00295F1D" w:rsidRPr="00CE0808" w:rsidRDefault="00295F1D" w:rsidP="00295F1D">
            <w:pPr>
              <w:spacing w:after="0" w:line="240" w:lineRule="auto"/>
              <w:ind w:right="23"/>
              <w:rPr>
                <w:rFonts w:ascii="Arial" w:eastAsia="Calibri" w:hAnsi="Arial" w:cs="Arial"/>
                <w:szCs w:val="16"/>
                <w:lang w:val="de-DE"/>
              </w:rPr>
            </w:pPr>
            <w:r w:rsidRPr="00CE0808">
              <w:rPr>
                <w:rFonts w:ascii="Arial" w:hAnsi="Arial"/>
                <w:lang w:val="de-DE"/>
              </w:rPr>
              <w:t>Tel. +49 621 776-1215</w:t>
            </w:r>
          </w:p>
          <w:p w14:paraId="0123EEF3" w14:textId="77777777" w:rsidR="00295F1D" w:rsidRPr="00CE0808" w:rsidRDefault="00295F1D" w:rsidP="00295F1D">
            <w:pPr>
              <w:spacing w:after="0" w:line="240" w:lineRule="auto"/>
              <w:ind w:right="23"/>
              <w:rPr>
                <w:rFonts w:ascii="Arial" w:eastAsia="Calibri" w:hAnsi="Arial" w:cs="Times New Roman"/>
                <w:color w:val="0000FF"/>
                <w:szCs w:val="16"/>
                <w:u w:val="single"/>
                <w:lang w:val="de-DE"/>
              </w:rPr>
            </w:pPr>
            <w:r w:rsidRPr="00CE0808">
              <w:rPr>
                <w:rFonts w:ascii="Arial" w:hAnsi="Arial"/>
                <w:color w:val="0000FF"/>
                <w:u w:val="single"/>
                <w:lang w:val="de-DE"/>
              </w:rPr>
              <w:t>ischmitt@de.pepperl-fuchs.com</w:t>
            </w:r>
          </w:p>
          <w:p w14:paraId="5A928A20" w14:textId="77777777" w:rsidR="00295F1D" w:rsidRPr="00CE0808" w:rsidRDefault="00295F1D" w:rsidP="00295F1D">
            <w:pPr>
              <w:spacing w:after="0" w:line="240" w:lineRule="auto"/>
              <w:ind w:right="23"/>
              <w:rPr>
                <w:rFonts w:ascii="Arial" w:eastAsia="Calibri" w:hAnsi="Arial" w:cs="Arial"/>
                <w:sz w:val="16"/>
                <w:szCs w:val="16"/>
                <w:lang w:val="de-DE" w:eastAsia="de-DE"/>
              </w:rPr>
            </w:pPr>
          </w:p>
        </w:tc>
        <w:tc>
          <w:tcPr>
            <w:tcW w:w="4766" w:type="dxa"/>
          </w:tcPr>
          <w:p w14:paraId="42C9C568" w14:textId="77777777" w:rsidR="00295F1D" w:rsidRPr="00CE0808" w:rsidRDefault="00295F1D" w:rsidP="00295F1D">
            <w:pPr>
              <w:spacing w:after="0" w:line="240" w:lineRule="auto"/>
              <w:ind w:right="23"/>
              <w:rPr>
                <w:rFonts w:ascii="Arial" w:eastAsia="Calibri" w:hAnsi="Arial" w:cs="Arial"/>
                <w:b/>
                <w:bCs/>
                <w:szCs w:val="16"/>
                <w:lang w:val="de-DE"/>
              </w:rPr>
            </w:pPr>
            <w:r w:rsidRPr="00CE0808">
              <w:rPr>
                <w:rFonts w:ascii="Arial" w:hAnsi="Arial"/>
                <w:b/>
                <w:lang w:val="de-DE"/>
              </w:rPr>
              <w:t>Annette Kern</w:t>
            </w:r>
          </w:p>
          <w:p w14:paraId="51A6F0F6" w14:textId="77777777" w:rsidR="00295F1D" w:rsidRPr="00CE0808" w:rsidRDefault="00295F1D" w:rsidP="00295F1D">
            <w:pPr>
              <w:spacing w:after="0" w:line="240" w:lineRule="auto"/>
              <w:ind w:right="23"/>
              <w:rPr>
                <w:rFonts w:ascii="Arial" w:eastAsia="Calibri" w:hAnsi="Arial" w:cs="Arial"/>
                <w:szCs w:val="16"/>
                <w:lang w:val="de-DE"/>
              </w:rPr>
            </w:pPr>
            <w:r w:rsidRPr="00CE0808">
              <w:rPr>
                <w:rFonts w:ascii="Arial" w:hAnsi="Arial"/>
                <w:lang w:val="de-DE"/>
              </w:rPr>
              <w:t>Press</w:t>
            </w:r>
          </w:p>
          <w:p w14:paraId="0C76E077" w14:textId="77777777" w:rsidR="00295F1D" w:rsidRPr="00CE0808" w:rsidRDefault="00295F1D" w:rsidP="00295F1D">
            <w:pPr>
              <w:spacing w:after="0" w:line="240" w:lineRule="auto"/>
              <w:ind w:right="23"/>
              <w:rPr>
                <w:rFonts w:ascii="Arial" w:eastAsia="Calibri" w:hAnsi="Arial" w:cs="Arial"/>
                <w:szCs w:val="16"/>
                <w:lang w:val="de-DE" w:eastAsia="de-DE"/>
              </w:rPr>
            </w:pPr>
          </w:p>
          <w:p w14:paraId="478DF991" w14:textId="77777777" w:rsidR="00295F1D" w:rsidRPr="00CE0808"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CE0808">
              <w:rPr>
                <w:rFonts w:ascii="Arial" w:hAnsi="Arial"/>
                <w:color w:val="595959"/>
                <w:lang w:val="de-DE"/>
              </w:rPr>
              <w:t>Pepperl+Fuchs SE</w:t>
            </w:r>
          </w:p>
          <w:p w14:paraId="2CABFC54" w14:textId="77777777" w:rsidR="00295F1D" w:rsidRPr="00CE0808"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CE0808">
              <w:rPr>
                <w:rFonts w:ascii="Arial" w:hAnsi="Arial"/>
                <w:color w:val="595959"/>
                <w:lang w:val="de-DE"/>
              </w:rPr>
              <w:t>Lilienthalstraße 200</w:t>
            </w:r>
          </w:p>
          <w:p w14:paraId="5CFBF563" w14:textId="77777777" w:rsidR="00295F1D" w:rsidRPr="00CE0808"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CE0808">
              <w:rPr>
                <w:rFonts w:ascii="Arial" w:hAnsi="Arial"/>
                <w:color w:val="595959"/>
                <w:lang w:val="de-DE"/>
              </w:rPr>
              <w:t xml:space="preserve">68307 Mannheim, </w:t>
            </w:r>
            <w:r w:rsidRPr="00CE0808">
              <w:rPr>
                <w:rFonts w:ascii="Arial" w:hAnsi="Arial"/>
                <w:lang w:val="de-DE"/>
              </w:rPr>
              <w:t>Germany</w:t>
            </w:r>
          </w:p>
          <w:p w14:paraId="4901ACC2" w14:textId="77777777" w:rsidR="00295F1D" w:rsidRPr="00CE0808" w:rsidRDefault="00295F1D" w:rsidP="00295F1D">
            <w:pPr>
              <w:spacing w:after="0" w:line="240" w:lineRule="auto"/>
              <w:ind w:right="23"/>
              <w:rPr>
                <w:rFonts w:ascii="Arial" w:eastAsia="Calibri" w:hAnsi="Arial" w:cs="Arial"/>
                <w:szCs w:val="16"/>
                <w:lang w:val="de-DE" w:eastAsia="de-DE"/>
              </w:rPr>
            </w:pPr>
          </w:p>
          <w:p w14:paraId="604D677D" w14:textId="49CE1CC4" w:rsidR="00295F1D" w:rsidRPr="00CE0808" w:rsidRDefault="00295F1D" w:rsidP="00295F1D">
            <w:pPr>
              <w:spacing w:after="0" w:line="240" w:lineRule="auto"/>
              <w:ind w:right="23"/>
              <w:rPr>
                <w:rFonts w:ascii="Arial" w:eastAsia="Calibri" w:hAnsi="Arial" w:cs="Arial"/>
                <w:szCs w:val="16"/>
                <w:lang w:val="de-DE"/>
              </w:rPr>
            </w:pPr>
            <w:r w:rsidRPr="00CE0808">
              <w:rPr>
                <w:rFonts w:ascii="Arial" w:hAnsi="Arial"/>
                <w:lang w:val="de-DE"/>
              </w:rPr>
              <w:t>Tel.: +49 621 776-1388</w:t>
            </w:r>
          </w:p>
          <w:p w14:paraId="14881E86" w14:textId="77777777" w:rsidR="00295F1D" w:rsidRPr="00CE0808" w:rsidRDefault="00295F1D" w:rsidP="00295F1D">
            <w:pPr>
              <w:spacing w:after="0" w:line="240" w:lineRule="auto"/>
              <w:ind w:right="23"/>
              <w:rPr>
                <w:rFonts w:ascii="Arial" w:eastAsia="Calibri" w:hAnsi="Arial" w:cs="Times New Roman"/>
                <w:color w:val="0000FF"/>
                <w:szCs w:val="16"/>
                <w:u w:val="single"/>
                <w:lang w:val="de-DE"/>
              </w:rPr>
            </w:pPr>
            <w:r w:rsidRPr="00CE0808">
              <w:rPr>
                <w:rFonts w:ascii="Arial" w:hAnsi="Arial"/>
                <w:color w:val="0000FF"/>
                <w:u w:val="single"/>
                <w:lang w:val="de-DE"/>
              </w:rPr>
              <w:t>akern@de.pepperl-fuchs.com</w:t>
            </w:r>
          </w:p>
          <w:p w14:paraId="4507B4AD" w14:textId="77777777" w:rsidR="00295F1D" w:rsidRPr="00CE0808" w:rsidRDefault="00295F1D" w:rsidP="00295F1D">
            <w:pPr>
              <w:spacing w:after="0" w:line="240" w:lineRule="auto"/>
              <w:ind w:right="23"/>
              <w:rPr>
                <w:rFonts w:ascii="Arial" w:eastAsia="Calibri" w:hAnsi="Arial" w:cs="Times New Roman"/>
                <w:color w:val="0000FF"/>
                <w:sz w:val="16"/>
                <w:szCs w:val="16"/>
                <w:u w:val="single"/>
                <w:lang w:val="de-DE" w:eastAsia="de-DE"/>
              </w:rPr>
            </w:pPr>
          </w:p>
          <w:p w14:paraId="53AB1AF3" w14:textId="77777777" w:rsidR="00295F1D" w:rsidRPr="00295F1D" w:rsidRDefault="00295F1D" w:rsidP="00295F1D">
            <w:pPr>
              <w:spacing w:after="0" w:line="240" w:lineRule="auto"/>
              <w:ind w:right="23"/>
              <w:rPr>
                <w:rFonts w:ascii="Arial" w:eastAsia="Calibri" w:hAnsi="Arial" w:cs="Arial"/>
                <w:bCs/>
                <w:sz w:val="16"/>
                <w:szCs w:val="16"/>
                <w:lang w:val="de-AT" w:eastAsia="de-DE"/>
              </w:rPr>
            </w:pPr>
          </w:p>
        </w:tc>
      </w:tr>
    </w:tbl>
    <w:p w14:paraId="394A2406" w14:textId="77777777" w:rsidR="000D765F" w:rsidRPr="00CE0808" w:rsidRDefault="000D765F" w:rsidP="00295F1D">
      <w:pPr>
        <w:rPr>
          <w:rStyle w:val="Hyperlink"/>
          <w:rFonts w:ascii="Arial" w:eastAsia="Calibri" w:hAnsi="Arial" w:cs="Arial"/>
          <w:color w:val="0000FF"/>
          <w:lang w:val="de-DE"/>
        </w:rPr>
      </w:pPr>
    </w:p>
    <w:p w14:paraId="6C54C674" w14:textId="77777777" w:rsidR="00295F1D" w:rsidRPr="00CE0808" w:rsidRDefault="007D0C0B" w:rsidP="000D765F">
      <w:pPr>
        <w:rPr>
          <w:rFonts w:ascii="Arial" w:eastAsia="Calibri" w:hAnsi="Arial" w:cs="Arial"/>
          <w:color w:val="0000FF"/>
          <w:lang w:val="de-DE"/>
        </w:rPr>
      </w:pPr>
      <w:hyperlink r:id="rId9" w:history="1">
        <w:r w:rsidR="00BA33C3" w:rsidRPr="00CE0808">
          <w:rPr>
            <w:rStyle w:val="Hyperlink"/>
            <w:rFonts w:ascii="Arial" w:hAnsi="Arial"/>
            <w:color w:val="0000FF"/>
            <w:lang w:val="de-DE"/>
          </w:rPr>
          <w:t>https://www.pepperl-fuchs.com/</w:t>
        </w:r>
      </w:hyperlink>
    </w:p>
    <w:p w14:paraId="0B4E4CE6" w14:textId="77777777" w:rsidR="00295F1D" w:rsidRPr="00295F1D" w:rsidRDefault="00295F1D" w:rsidP="00295F1D">
      <w:pPr>
        <w:rPr>
          <w:rFonts w:ascii="Arial" w:eastAsia="Calibri" w:hAnsi="Arial" w:cs="Arial"/>
        </w:rPr>
      </w:pPr>
      <w:r>
        <w:rPr>
          <w:rFonts w:ascii="Arial" w:hAnsi="Arial"/>
        </w:rPr>
        <w:t>For use free-of-charge in publications.</w:t>
      </w:r>
    </w:p>
    <w:p w14:paraId="55E8D7AA" w14:textId="77777777" w:rsidR="00295F1D" w:rsidRPr="00295F1D" w:rsidRDefault="00295F1D" w:rsidP="00C345B6"/>
    <w:sectPr w:rsidR="00295F1D" w:rsidRPr="00295F1D">
      <w:headerReference w:type="even" r:id="rId10"/>
      <w:headerReference w:type="default" r:id="rId11"/>
      <w:footerReference w:type="even" r:id="rId12"/>
      <w:footerReference w:type="default" r:id="rId13"/>
      <w:headerReference w:type="first" r:id="rId14"/>
      <w:footerReference w:type="first" r:id="rId15"/>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8E527" w14:textId="77777777" w:rsidR="00653200" w:rsidRDefault="00653200" w:rsidP="00295F1D">
      <w:pPr>
        <w:spacing w:after="0" w:line="240" w:lineRule="auto"/>
      </w:pPr>
      <w:r>
        <w:separator/>
      </w:r>
    </w:p>
  </w:endnote>
  <w:endnote w:type="continuationSeparator" w:id="0">
    <w:p w14:paraId="7B271C3C" w14:textId="77777777" w:rsidR="00653200" w:rsidRDefault="00653200"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78EC4" w14:textId="77777777" w:rsidR="007D0C0B" w:rsidRDefault="007D0C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9486554"/>
      <w:docPartObj>
        <w:docPartGallery w:val="Page Numbers (Bottom of Page)"/>
        <w:docPartUnique/>
      </w:docPartObj>
    </w:sdtPr>
    <w:sdtEndPr/>
    <w:sdtContent>
      <w:p w14:paraId="1737E7EB" w14:textId="77777777" w:rsidR="00B13F2D" w:rsidRDefault="00B13F2D">
        <w:pPr>
          <w:pStyle w:val="Fuzeile"/>
          <w:jc w:val="right"/>
        </w:pPr>
        <w:r>
          <w:fldChar w:fldCharType="begin"/>
        </w:r>
        <w:r>
          <w:instrText>PAGE   \* MERGEFORMAT</w:instrText>
        </w:r>
        <w:r>
          <w:fldChar w:fldCharType="separate"/>
        </w:r>
        <w:r w:rsidR="00172BD5" w:rsidRPr="00172BD5">
          <w:rPr>
            <w:noProof/>
            <w:lang w:val="de-DE"/>
          </w:rPr>
          <w:t>3</w:t>
        </w:r>
        <w:r>
          <w:fldChar w:fldCharType="end"/>
        </w:r>
      </w:p>
    </w:sdtContent>
  </w:sdt>
  <w:p w14:paraId="56C8D1F3" w14:textId="77777777" w:rsidR="00B13F2D" w:rsidRDefault="00B13F2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D76C" w14:textId="77777777" w:rsidR="007D0C0B" w:rsidRDefault="007D0C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48E79" w14:textId="77777777" w:rsidR="00653200" w:rsidRDefault="00653200" w:rsidP="00295F1D">
      <w:pPr>
        <w:spacing w:after="0" w:line="240" w:lineRule="auto"/>
      </w:pPr>
      <w:r>
        <w:separator/>
      </w:r>
    </w:p>
  </w:footnote>
  <w:footnote w:type="continuationSeparator" w:id="0">
    <w:p w14:paraId="09FA84D5" w14:textId="77777777" w:rsidR="00653200" w:rsidRDefault="00653200"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D914B" w14:textId="77777777" w:rsidR="007D0C0B" w:rsidRDefault="007D0C0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14:paraId="284AB457" w14:textId="17A1A513" w:rsidR="00295F1D" w:rsidRPr="006077A0" w:rsidRDefault="00295F1D" w:rsidP="00295F1D">
    <w:pPr>
      <w:tabs>
        <w:tab w:val="right" w:pos="9072"/>
      </w:tabs>
      <w:spacing w:after="0" w:line="360" w:lineRule="auto"/>
      <w:rPr>
        <w:rFonts w:eastAsia="Times New Roman" w:cs="Times New Roman"/>
        <w:sz w:val="16"/>
        <w:szCs w:val="24"/>
      </w:rPr>
    </w:pPr>
    <w:r>
      <w:rPr>
        <w:noProof/>
        <w:lang w:val="de-DE" w:eastAsia="de-DE"/>
      </w:rPr>
      <mc:AlternateContent>
        <mc:Choice Requires="wps">
          <w:drawing>
            <wp:anchor distT="0" distB="0" distL="114300" distR="114300" simplePos="0" relativeHeight="251659264" behindDoc="0" locked="0" layoutInCell="1" allowOverlap="1" wp14:anchorId="3185A65F" wp14:editId="6F4C548A">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684F5C4"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" strokeweight=".5pt"/>
          </w:pict>
        </mc:Fallback>
      </mc:AlternateContent>
    </w:r>
    <w:bookmarkEnd w:id="0"/>
    <w:r w:rsidR="007C01BA">
      <w:rPr>
        <w:sz w:val="16"/>
      </w:rPr>
      <w:t>FA_</w:t>
    </w:r>
    <w:r>
      <w:rPr>
        <w:sz w:val="16"/>
      </w:rPr>
      <w:t>4978_ENG_</w:t>
    </w:r>
    <w:r w:rsidR="007C01BA">
      <w:rPr>
        <w:sz w:val="16"/>
      </w:rPr>
      <w:t>ShieldScan_</w:t>
    </w:r>
    <w:r>
      <w:rPr>
        <w:sz w:val="16"/>
      </w:rPr>
      <w:t>Press kit</w:t>
    </w:r>
    <w:r w:rsidR="007C01BA">
      <w:rPr>
        <w:sz w:val="16"/>
      </w:rPr>
      <w:t>_</w:t>
    </w:r>
    <w:r>
      <w:rPr>
        <w:sz w:val="16"/>
      </w:rPr>
      <w:t>BAU</w:t>
    </w:r>
    <w:r w:rsidR="007D0C0B">
      <w:rPr>
        <w:sz w:val="16"/>
      </w:rPr>
      <w:t>_2025</w:t>
    </w:r>
    <w:r>
      <w:tab/>
    </w:r>
    <w:r>
      <w:rPr>
        <w:noProof/>
        <w:lang w:val="de-DE" w:eastAsia="de-DE"/>
      </w:rPr>
      <w:drawing>
        <wp:inline distT="0" distB="0" distL="0" distR="0" wp14:anchorId="5E541DA7" wp14:editId="5C0282AE">
          <wp:extent cx="1380781" cy="153419"/>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39708" cy="159966"/>
                  </a:xfrm>
                  <a:prstGeom prst="rect">
                    <a:avLst/>
                  </a:prstGeom>
                  <a:noFill/>
                  <a:ln>
                    <a:noFill/>
                  </a:ln>
                </pic:spPr>
              </pic:pic>
            </a:graphicData>
          </a:graphic>
        </wp:inline>
      </w:drawing>
    </w:r>
  </w:p>
  <w:p w14:paraId="54F52A4C" w14:textId="77777777" w:rsidR="00295F1D" w:rsidRDefault="00295F1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C269" w14:textId="77777777" w:rsidR="007D0C0B" w:rsidRDefault="007D0C0B">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D765F"/>
    <w:rsid w:val="00172BD5"/>
    <w:rsid w:val="00295F1D"/>
    <w:rsid w:val="003B1085"/>
    <w:rsid w:val="00463C2E"/>
    <w:rsid w:val="00475E5B"/>
    <w:rsid w:val="006077A0"/>
    <w:rsid w:val="00653200"/>
    <w:rsid w:val="00737588"/>
    <w:rsid w:val="007B17A1"/>
    <w:rsid w:val="007B43F2"/>
    <w:rsid w:val="007B497A"/>
    <w:rsid w:val="007C01BA"/>
    <w:rsid w:val="007D0C0B"/>
    <w:rsid w:val="00A4449F"/>
    <w:rsid w:val="00B13F2D"/>
    <w:rsid w:val="00BA33C3"/>
    <w:rsid w:val="00C345B6"/>
    <w:rsid w:val="00CA627D"/>
    <w:rsid w:val="00CE0808"/>
    <w:rsid w:val="00DB1F85"/>
    <w:rsid w:val="00E22DA3"/>
    <w:rsid w:val="00F71B42"/>
    <w:rsid w:val="00F81DBB"/>
    <w:rsid w:val="00FB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A075935"/>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F1D"/>
  </w:style>
  <w:style w:type="paragraph" w:styleId="berschrift1">
    <w:name w:val="heading 1"/>
    <w:basedOn w:val="Standard"/>
    <w:next w:val="Standard"/>
    <w:link w:val="berschrift1Zchn"/>
    <w:uiPriority w:val="9"/>
    <w:qFormat/>
    <w:rsid w:val="00C345B6"/>
    <w:pPr>
      <w:keepNext/>
      <w:keepLines/>
      <w:spacing w:before="240" w:after="0"/>
      <w:outlineLvl w:val="0"/>
    </w:pPr>
    <w:rPr>
      <w:rFonts w:eastAsiaTheme="majorEastAsia" w:cstheme="majorBidi"/>
      <w:color w:val="007B64" w:themeColor="accent1" w:themeShade="BF"/>
      <w:sz w:val="32"/>
      <w:szCs w:val="32"/>
    </w:rPr>
  </w:style>
  <w:style w:type="paragraph" w:styleId="berschrift2">
    <w:name w:val="heading 2"/>
    <w:basedOn w:val="Standard"/>
    <w:next w:val="Standard"/>
    <w:link w:val="berschrift2Zchn"/>
    <w:uiPriority w:val="9"/>
    <w:unhideWhenUsed/>
    <w:qFormat/>
    <w:rsid w:val="00C345B6"/>
    <w:pPr>
      <w:keepNext/>
      <w:keepLines/>
      <w:spacing w:before="40" w:after="0"/>
      <w:outlineLvl w:val="1"/>
    </w:pPr>
    <w:rPr>
      <w:rFonts w:eastAsiaTheme="majorEastAsia" w:cstheme="majorBidi"/>
      <w:color w:val="007B64" w:themeColor="accent1" w:themeShade="BF"/>
      <w:sz w:val="26"/>
      <w:szCs w:val="26"/>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345B6"/>
    <w:rPr>
      <w:rFonts w:ascii="Arial" w:eastAsiaTheme="majorEastAsia" w:hAnsi="Arial" w:cstheme="majorBidi"/>
      <w:color w:val="007B64" w:themeColor="accent1" w:themeShade="BF"/>
      <w:sz w:val="32"/>
      <w:szCs w:val="32"/>
    </w:rPr>
  </w:style>
  <w:style w:type="character" w:customStyle="1" w:styleId="berschrift2Zchn">
    <w:name w:val="Überschrift 2 Zchn"/>
    <w:basedOn w:val="Absatz-Standardschriftart"/>
    <w:link w:val="berschrift2"/>
    <w:uiPriority w:val="9"/>
    <w:rsid w:val="00C345B6"/>
    <w:rPr>
      <w:rFonts w:ascii="Arial" w:eastAsiaTheme="majorEastAsia" w:hAnsi="Arial" w:cstheme="majorBidi"/>
      <w:color w:val="007B64" w:themeColor="accent1" w:themeShade="BF"/>
      <w:sz w:val="26"/>
      <w:szCs w:val="26"/>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en-US"/>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en-US"/>
    </w:rPr>
  </w:style>
  <w:style w:type="table" w:styleId="Tabellenraster">
    <w:name w:val="Table Grid"/>
    <w:basedOn w:val="NormaleTabelle"/>
    <w:uiPriority w:val="39"/>
    <w:rsid w:val="00295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pepperl-fuchs.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P+F">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311</Words>
  <Characters>1965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4</cp:revision>
  <dcterms:created xsi:type="dcterms:W3CDTF">2024-12-02T11:53:00Z</dcterms:created>
  <dcterms:modified xsi:type="dcterms:W3CDTF">2024-12-10T13:35:00Z</dcterms:modified>
</cp:coreProperties>
</file>