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cs="Arial"/>
                <w:b/>
                <w:bCs/>
              </w:rPr>
              <w:t>Auf einen Blick</w:t>
            </w:r>
          </w:p>
          <w:p>
            <w:pPr>
              <w:rPr>
                <w:rFonts w:ascii="Arial" w:hAnsi="Arial" w:cs="Arial"/>
                <w:b/>
                <w:bCs/>
              </w:rPr>
            </w:pPr>
          </w:p>
          <w:p>
            <w:pPr>
              <w:pStyle w:val="Listenabsatz"/>
              <w:numPr>
                <w:ilvl w:val="0"/>
                <w:numId w:val="5"/>
              </w:numPr>
              <w:spacing w:line="240" w:lineRule="auto"/>
            </w:pPr>
            <w:r>
              <w:t xml:space="preserve">Verlässliche Erkennung und fehlerfreies </w:t>
            </w:r>
            <w:proofErr w:type="spellStart"/>
            <w:r>
              <w:t>Entstapeln</w:t>
            </w:r>
            <w:proofErr w:type="spellEnd"/>
            <w:r>
              <w:t xml:space="preserve"> von verschiedenen Kistentypen</w:t>
            </w:r>
            <w:r>
              <w:br/>
            </w:r>
          </w:p>
          <w:p>
            <w:pPr>
              <w:pStyle w:val="Listenabsatz"/>
              <w:numPr>
                <w:ilvl w:val="0"/>
                <w:numId w:val="5"/>
              </w:numPr>
              <w:spacing w:line="240" w:lineRule="auto"/>
            </w:pPr>
            <w:r>
              <w:t>Taktzeit unter 10 Sekunden</w:t>
            </w:r>
          </w:p>
          <w:p>
            <w:pPr>
              <w:pStyle w:val="Listenabsatz"/>
              <w:spacing w:line="240" w:lineRule="auto"/>
            </w:pPr>
          </w:p>
          <w:p>
            <w:pPr>
              <w:pStyle w:val="Listenabsatz"/>
              <w:numPr>
                <w:ilvl w:val="0"/>
                <w:numId w:val="5"/>
              </w:numPr>
              <w:spacing w:line="240" w:lineRule="auto"/>
            </w:pPr>
            <w:r>
              <w:t>Genauigkeit von ±1 mm</w:t>
            </w:r>
          </w:p>
          <w:p>
            <w:pPr>
              <w:pStyle w:val="Listenabsatz"/>
              <w:spacing w:line="240" w:lineRule="auto"/>
            </w:pPr>
          </w:p>
          <w:p>
            <w:pPr>
              <w:pStyle w:val="Listenabsatz"/>
              <w:numPr>
                <w:ilvl w:val="0"/>
                <w:numId w:val="5"/>
              </w:numPr>
              <w:spacing w:line="240" w:lineRule="auto"/>
            </w:pPr>
            <w:r>
              <w:t>Anwendungsbedingte Zusatzprüfungen integrierbar</w:t>
            </w:r>
          </w:p>
          <w:p>
            <w:pPr>
              <w:pStyle w:val="Listenabsatz"/>
              <w:spacing w:line="240" w:lineRule="auto"/>
            </w:pPr>
          </w:p>
        </w:tc>
      </w:tr>
    </w:tbl>
    <w:p/>
    <w:p>
      <w:pPr>
        <w:pStyle w:val="berschrift1"/>
        <w:rPr>
          <w:lang w:val="de-DE"/>
        </w:rPr>
      </w:pPr>
      <w:proofErr w:type="spellStart"/>
      <w:r>
        <w:rPr>
          <w:lang w:val="de-DE"/>
        </w:rPr>
        <w:t>Depalettieren</w:t>
      </w:r>
      <w:proofErr w:type="spellEnd"/>
      <w:r>
        <w:rPr>
          <w:lang w:val="de-DE"/>
        </w:rPr>
        <w:t xml:space="preserve"> mit VMT </w:t>
      </w:r>
      <w:proofErr w:type="spellStart"/>
      <w:r>
        <w:rPr>
          <w:lang w:val="de-DE"/>
        </w:rPr>
        <w:t>DeStack</w:t>
      </w:r>
      <w:proofErr w:type="spellEnd"/>
    </w:p>
    <w:p>
      <w:pPr>
        <w:rPr>
          <w:rFonts w:ascii="Arial" w:eastAsia="Calibri" w:hAnsi="Arial" w:cs="Arial"/>
          <w:b/>
          <w:bCs/>
        </w:rPr>
      </w:pPr>
      <w:r>
        <w:rPr>
          <w:rFonts w:ascii="Arial" w:eastAsia="Calibri" w:hAnsi="Arial" w:cs="Arial"/>
          <w:b/>
          <w:bCs/>
        </w:rPr>
        <w:t xml:space="preserve">Das Haupteinsatzgebiet für das </w:t>
      </w:r>
      <w:proofErr w:type="spellStart"/>
      <w:r>
        <w:rPr>
          <w:rFonts w:ascii="Arial" w:eastAsia="Calibri" w:hAnsi="Arial" w:cs="Arial"/>
          <w:b/>
          <w:bCs/>
        </w:rPr>
        <w:t>Depalettierungssystem</w:t>
      </w:r>
      <w:proofErr w:type="spellEnd"/>
      <w:r>
        <w:rPr>
          <w:rFonts w:ascii="Arial" w:eastAsia="Calibri" w:hAnsi="Arial" w:cs="Arial"/>
          <w:b/>
          <w:bCs/>
        </w:rPr>
        <w:t xml:space="preserve"> VMT </w:t>
      </w:r>
      <w:proofErr w:type="spellStart"/>
      <w:r>
        <w:rPr>
          <w:rFonts w:ascii="Arial" w:eastAsia="Calibri" w:hAnsi="Arial" w:cs="Arial"/>
          <w:b/>
          <w:bCs/>
        </w:rPr>
        <w:t>DeStack</w:t>
      </w:r>
      <w:proofErr w:type="spellEnd"/>
      <w:r>
        <w:rPr>
          <w:rFonts w:ascii="Arial" w:eastAsia="Calibri" w:hAnsi="Arial" w:cs="Arial"/>
          <w:b/>
          <w:bCs/>
        </w:rPr>
        <w:t xml:space="preserve"> liegt in der Logistik und wird zur effizienten </w:t>
      </w:r>
      <w:proofErr w:type="spellStart"/>
      <w:r>
        <w:rPr>
          <w:rFonts w:ascii="Arial" w:eastAsia="Calibri" w:hAnsi="Arial" w:cs="Arial"/>
          <w:b/>
          <w:bCs/>
        </w:rPr>
        <w:t>Entstapelung</w:t>
      </w:r>
      <w:proofErr w:type="spellEnd"/>
      <w:r>
        <w:rPr>
          <w:rFonts w:ascii="Arial" w:eastAsia="Calibri" w:hAnsi="Arial" w:cs="Arial"/>
          <w:b/>
          <w:bCs/>
        </w:rPr>
        <w:t xml:space="preserve"> von Paletten eingesetzt.</w:t>
      </w:r>
    </w:p>
    <w:p>
      <w:pPr>
        <w:rPr>
          <w:rFonts w:ascii="Arial" w:eastAsia="Calibri" w:hAnsi="Arial" w:cs="Arial"/>
          <w:b/>
          <w:bCs/>
        </w:rPr>
      </w:pPr>
      <w:r>
        <w:rPr>
          <w:rFonts w:ascii="Arial" w:eastAsia="Calibri" w:hAnsi="Arial" w:cs="Arial"/>
          <w:b/>
          <w:bCs/>
        </w:rPr>
        <w:t xml:space="preserve">Die Anforderungen an ein solches </w:t>
      </w:r>
      <w:proofErr w:type="spellStart"/>
      <w:r>
        <w:rPr>
          <w:rFonts w:ascii="Arial" w:eastAsia="Calibri" w:hAnsi="Arial" w:cs="Arial"/>
          <w:b/>
          <w:bCs/>
        </w:rPr>
        <w:t>Depalettierungssystem</w:t>
      </w:r>
      <w:proofErr w:type="spellEnd"/>
      <w:r>
        <w:rPr>
          <w:rFonts w:ascii="Arial" w:eastAsia="Calibri" w:hAnsi="Arial" w:cs="Arial"/>
          <w:b/>
          <w:bCs/>
        </w:rPr>
        <w:t xml:space="preserve"> lassen sich einfach zusammenzufassen: die Palette soll möglichst schnell und fehlerfrei </w:t>
      </w:r>
      <w:proofErr w:type="spellStart"/>
      <w:r>
        <w:rPr>
          <w:rFonts w:ascii="Arial" w:eastAsia="Calibri" w:hAnsi="Arial" w:cs="Arial"/>
          <w:b/>
          <w:bCs/>
        </w:rPr>
        <w:t>entstapelt</w:t>
      </w:r>
      <w:proofErr w:type="spellEnd"/>
      <w:r>
        <w:rPr>
          <w:rFonts w:ascii="Arial" w:eastAsia="Calibri" w:hAnsi="Arial" w:cs="Arial"/>
          <w:b/>
          <w:bCs/>
        </w:rPr>
        <w:t xml:space="preserve"> werden. Dies ist an vielfältige Bedingungen geknüpft, welche durch VMT </w:t>
      </w:r>
      <w:proofErr w:type="spellStart"/>
      <w:r>
        <w:rPr>
          <w:rFonts w:ascii="Arial" w:eastAsia="Calibri" w:hAnsi="Arial" w:cs="Arial"/>
          <w:b/>
          <w:bCs/>
        </w:rPr>
        <w:t>DeStack</w:t>
      </w:r>
      <w:proofErr w:type="spellEnd"/>
      <w:r>
        <w:rPr>
          <w:rFonts w:ascii="Arial" w:eastAsia="Calibri" w:hAnsi="Arial" w:cs="Arial"/>
          <w:b/>
          <w:bCs/>
        </w:rPr>
        <w:t xml:space="preserve"> erfüllt werden. werden.</w:t>
      </w:r>
    </w:p>
    <w:p>
      <w:pPr>
        <w:rPr>
          <w:rFonts w:ascii="Arial" w:eastAsia="Calibri" w:hAnsi="Arial" w:cs="Arial"/>
          <w:b/>
          <w:bCs/>
        </w:rPr>
      </w:pPr>
    </w:p>
    <w:p>
      <w:pPr>
        <w:rPr>
          <w:b/>
          <w:bCs/>
        </w:rPr>
      </w:pPr>
      <w:r>
        <w:rPr>
          <w:b/>
          <w:bCs/>
        </w:rPr>
        <w:t xml:space="preserve">VMT </w:t>
      </w:r>
      <w:proofErr w:type="spellStart"/>
      <w:r>
        <w:rPr>
          <w:b/>
          <w:bCs/>
        </w:rPr>
        <w:t>DeStack</w:t>
      </w:r>
      <w:proofErr w:type="spellEnd"/>
      <w:r>
        <w:rPr>
          <w:b/>
          <w:bCs/>
        </w:rPr>
        <w:t xml:space="preserve"> erfüllt komplexe Bedingungen zum </w:t>
      </w:r>
      <w:proofErr w:type="spellStart"/>
      <w:r>
        <w:rPr>
          <w:b/>
          <w:bCs/>
        </w:rPr>
        <w:t>Depalettieren</w:t>
      </w:r>
      <w:proofErr w:type="spellEnd"/>
    </w:p>
    <w:p>
      <w:pPr>
        <w:rPr>
          <w:b/>
          <w:bCs/>
        </w:rPr>
      </w:pPr>
      <w:r>
        <w:t xml:space="preserve">Das </w:t>
      </w:r>
      <w:proofErr w:type="spellStart"/>
      <w:r>
        <w:t>Depalettierungssystem</w:t>
      </w:r>
      <w:proofErr w:type="spellEnd"/>
      <w:r>
        <w:t xml:space="preserve"> VMT </w:t>
      </w:r>
      <w:proofErr w:type="spellStart"/>
      <w:r>
        <w:t>DeStack</w:t>
      </w:r>
      <w:proofErr w:type="spellEnd"/>
      <w:r>
        <w:t xml:space="preserve"> erkennt verschiedene Kistentypen ohne vorherige Typvorgabe und arbeitet mit einer hohen Positionsgenauigkeit von ±1 mm. Die Kisten werden in einer definierbaren Reihenfolge, von vorne nach hinten und von oben nach unten, </w:t>
      </w:r>
      <w:proofErr w:type="spellStart"/>
      <w:r>
        <w:t>abgestapelt</w:t>
      </w:r>
      <w:proofErr w:type="spellEnd"/>
      <w:r>
        <w:t>. Das System ist darauf ausgelegt, in einer schnellen Taktzeit von unter zehn Sekunden zu arbeiten und mögliche Fehler, wie verkippte Kisten oder Hindernisse, die den Greifer beschädigen könnten, automatisch zu erkennen. Bei Bedarf kann auch der Füllstand der Kisten erfasst werden, ohne die Abläufe zu verlangsamen</w:t>
      </w:r>
      <w:r>
        <w:br/>
      </w:r>
      <w:r>
        <w:br/>
      </w:r>
      <w:r>
        <w:rPr>
          <w:b/>
          <w:bCs/>
        </w:rPr>
        <w:t>Präzise Bildverarbeitung und flexible Einsatzmöglichkeiten</w:t>
      </w:r>
    </w:p>
    <w:p>
      <w:pPr>
        <w:rPr>
          <w:rFonts w:ascii="Arial" w:eastAsia="Calibri" w:hAnsi="Arial" w:cs="Arial"/>
        </w:rPr>
      </w:pPr>
      <w:r>
        <w:t xml:space="preserve">Der VMT </w:t>
      </w:r>
      <w:proofErr w:type="spellStart"/>
      <w:r>
        <w:t>DeepScan</w:t>
      </w:r>
      <w:proofErr w:type="spellEnd"/>
      <w:r>
        <w:t xml:space="preserve"> 3D Stereosensor erstellt eine detaillierte Punktewolke der Palette und der darauf gestapelten Kisten. Diese Rohdaten werden durch ein mehrstufiges Bildverarbeitungsverfahren analysiert, um relevante Informationen wie die genaue Position der Kisten zu extrahieren. Das System schneidet die Punktewolke zunächst auf die oberste Ebene </w:t>
      </w:r>
      <w:r>
        <w:lastRenderedPageBreak/>
        <w:t xml:space="preserve">zu, bevor es die nächste Kiste zur Entnahme auswählt und prüft, ob Hindernisse vorliegen. Dank automatisierter Rückfallebenen wird eine hohe Zuverlässigkeit gewährleistet. VMT </w:t>
      </w:r>
      <w:proofErr w:type="spellStart"/>
      <w:r>
        <w:t>DeStack</w:t>
      </w:r>
      <w:proofErr w:type="spellEnd"/>
      <w:r>
        <w:t xml:space="preserve"> ist durch seinen flexiblen Aufbau nicht nur auf Kisten-</w:t>
      </w:r>
      <w:proofErr w:type="spellStart"/>
      <w:r>
        <w:t>Depalettierungsaufgaben</w:t>
      </w:r>
      <w:proofErr w:type="spellEnd"/>
      <w:r>
        <w:t xml:space="preserve"> beschränkt, sondern ist auch für weitere </w:t>
      </w:r>
      <w:proofErr w:type="spellStart"/>
      <w:r>
        <w:t>Entstapelungsanwendungen</w:t>
      </w:r>
      <w:proofErr w:type="spellEnd"/>
      <w:r>
        <w:t xml:space="preserve"> geeignet.</w:t>
      </w:r>
      <w:r>
        <w:br/>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433"/>
        <w:gridCol w:w="5963"/>
      </w:tblGrid>
      <w:tr>
        <w:tc>
          <w:tcPr>
            <w:tcW w:w="9062" w:type="dxa"/>
            <w:gridSpan w:val="2"/>
          </w:tcPr>
          <w:p>
            <w:pPr>
              <w:jc w:val="center"/>
              <w:rPr>
                <w:rFonts w:ascii="Arial" w:eastAsia="Calibri" w:hAnsi="Arial" w:cs="Arial"/>
              </w:rPr>
            </w:pPr>
            <w:r>
              <w:rPr>
                <w:noProof/>
              </w:rPr>
              <w:drawing>
                <wp:inline distT="0" distB="0" distL="0" distR="0">
                  <wp:extent cx="5972810" cy="3985895"/>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3985895"/>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rPr>
                <w:rFonts w:ascii="Arial" w:eastAsia="Calibri" w:hAnsi="Arial" w:cs="Arial"/>
              </w:rPr>
              <w:t xml:space="preserve">VMT </w:t>
            </w:r>
            <w:proofErr w:type="spellStart"/>
            <w:r>
              <w:rPr>
                <w:rFonts w:ascii="Arial" w:eastAsia="Calibri" w:hAnsi="Arial" w:cs="Arial"/>
              </w:rPr>
              <w:t>DeStack</w:t>
            </w:r>
            <w:proofErr w:type="spellEnd"/>
            <w:r>
              <w:rPr>
                <w:rFonts w:ascii="Arial" w:eastAsia="Calibri" w:hAnsi="Arial" w:cs="Arial"/>
              </w:rPr>
              <w:t xml:space="preserve"> erfüllt komplexe Bedingungen zum </w:t>
            </w:r>
            <w:proofErr w:type="spellStart"/>
            <w:r>
              <w:rPr>
                <w:rFonts w:ascii="Arial" w:eastAsia="Calibri" w:hAnsi="Arial" w:cs="Arial"/>
              </w:rPr>
              <w:t>Depalettieren</w:t>
            </w:r>
            <w:proofErr w:type="spellEnd"/>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 xml:space="preserve">Joachim </w:t>
            </w:r>
            <w:proofErr w:type="spellStart"/>
            <w:r>
              <w:t>Kutschka</w:t>
            </w:r>
            <w:proofErr w:type="spellEnd"/>
          </w:p>
        </w:tc>
      </w:tr>
      <w:tr>
        <w:tc>
          <w:tcPr>
            <w:tcW w:w="2830" w:type="dxa"/>
          </w:tcPr>
          <w:p>
            <w:pPr>
              <w:rPr>
                <w:rFonts w:ascii="Arial" w:eastAsia="Calibri" w:hAnsi="Arial" w:cs="Arial"/>
                <w:b/>
                <w:bCs/>
              </w:rPr>
            </w:pPr>
            <w:r>
              <w:rPr>
                <w:rFonts w:ascii="Arial" w:eastAsia="Calibri" w:hAnsi="Arial" w:cs="Arial"/>
                <w:b/>
                <w:bCs/>
              </w:rPr>
              <w:t>Schlagworte</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1825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405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r>
        <w:tc>
          <w:tcPr>
            <w:tcW w:w="2830" w:type="dxa"/>
          </w:tcPr>
          <w:p>
            <w:pPr>
              <w:rPr>
                <w:rFonts w:ascii="Arial" w:eastAsia="Calibri" w:hAnsi="Arial" w:cs="Arial"/>
                <w:b/>
                <w:bCs/>
              </w:rPr>
            </w:pPr>
            <w:r>
              <w:rPr>
                <w:rFonts w:ascii="Arial" w:eastAsia="Calibri" w:hAnsi="Arial" w:cs="Arial"/>
                <w:b/>
                <w:bCs/>
              </w:rPr>
              <w:t>Geschäftsbereich</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8"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9" w:history="1">
        <w:r>
          <w:rPr>
            <w:rStyle w:val="Hyperlink"/>
            <w:rFonts w:ascii="Arial" w:eastAsia="Calibri" w:hAnsi="Arial" w:cs="Arial"/>
            <w:b/>
          </w:rPr>
          <w:t>https://www.vmt-systems.com/</w:t>
        </w:r>
      </w:hyperlink>
    </w:p>
    <w:p>
      <w:pPr>
        <w:rPr>
          <w:rFonts w:ascii="Arial" w:eastAsia="Calibri" w:hAnsi="Arial" w:cs="Arial"/>
        </w:rPr>
      </w:pPr>
      <w:r>
        <w:rPr>
          <w:rFonts w:ascii="Arial" w:eastAsia="Calibri" w:hAnsi="Arial" w:cs="Arial"/>
        </w:rPr>
        <w:t>Zur honorarfreien Verwendung für Redaktionen.</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proofErr w:type="spellStart"/>
    <w:r>
      <w:rPr>
        <w:rFonts w:eastAsia="Times New Roman" w:cs="Times New Roman"/>
        <w:sz w:val="16"/>
        <w:szCs w:val="24"/>
        <w:lang w:eastAsia="de-DE"/>
      </w:rPr>
      <w:t>VMT_GER_Depalettieren_VMT_DeStack_Pressemappe_LogiMAT</w:t>
    </w:r>
    <w:proofErr w:type="spellEnd"/>
    <w:r>
      <w:rPr>
        <w:rFonts w:eastAsia="Times New Roman" w:cs="Times New Roman"/>
        <w:szCs w:val="20"/>
        <w:lang w:eastAsia="de-DE"/>
      </w:rPr>
      <w:tab/>
    </w:r>
    <w:r>
      <w:rPr>
        <w:rFonts w:eastAsia="Times New Roman" w:cs="Times New Roman"/>
        <w:noProof/>
        <w:szCs w:val="20"/>
        <w:lang w:val="en-US"/>
      </w:rPr>
      <w:drawing>
        <wp:inline distT="0" distB="0" distL="0" distR="0">
          <wp:extent cx="443450" cy="17142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70943" cy="182052"/>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mt-sy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382</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6</cp:revision>
  <dcterms:created xsi:type="dcterms:W3CDTF">2024-09-25T13:06:00Z</dcterms:created>
  <dcterms:modified xsi:type="dcterms:W3CDTF">2025-02-05T15:09:00Z</dcterms:modified>
</cp:coreProperties>
</file>