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pStyle w:val="Listenabsatz"/>
              <w:numPr>
                <w:ilvl w:val="0"/>
                <w:numId w:val="5"/>
              </w:numPr>
              <w:rPr>
                <w:rFonts w:ascii="Arial" w:hAnsi="Arial" w:cs="Arial"/>
                <w:b/>
                <w:bCs/>
              </w:rPr>
            </w:pPr>
            <w:r>
              <w:rPr>
                <w:rFonts w:ascii="Arial" w:hAnsi="Arial"/>
                <w:b/>
              </w:rPr>
              <w:t>At a Glance</w:t>
            </w:r>
          </w:p>
          <w:p>
            <w:pPr>
              <w:rPr>
                <w:rFonts w:ascii="Arial" w:hAnsi="Arial" w:cs="Arial"/>
                <w:b/>
                <w:bCs/>
              </w:rPr>
            </w:pPr>
          </w:p>
          <w:p>
            <w:pPr>
              <w:pStyle w:val="Listenabsatz"/>
              <w:numPr>
                <w:ilvl w:val="0"/>
                <w:numId w:val="5"/>
              </w:numPr>
              <w:spacing w:line="240" w:lineRule="auto"/>
            </w:pPr>
            <w:r>
              <w:t>Reliable detection and error-free de-stacking of various types of crates/containers</w:t>
            </w:r>
            <w:r>
              <w:br/>
            </w:r>
          </w:p>
          <w:p>
            <w:pPr>
              <w:pStyle w:val="Listenabsatz"/>
              <w:numPr>
                <w:ilvl w:val="0"/>
                <w:numId w:val="5"/>
              </w:numPr>
              <w:spacing w:line="240" w:lineRule="auto"/>
            </w:pPr>
            <w:r>
              <w:t>Cycle time of under 10 seconds</w:t>
            </w:r>
          </w:p>
          <w:p>
            <w:pPr>
              <w:pStyle w:val="Listenabsatz"/>
              <w:spacing w:line="240" w:lineRule="auto"/>
            </w:pPr>
          </w:p>
          <w:p>
            <w:pPr>
              <w:pStyle w:val="Listenabsatz"/>
              <w:numPr>
                <w:ilvl w:val="0"/>
                <w:numId w:val="5"/>
              </w:numPr>
              <w:spacing w:line="240" w:lineRule="auto"/>
            </w:pPr>
            <w:r>
              <w:t>Accuracy of ±1 mm</w:t>
            </w:r>
          </w:p>
          <w:p>
            <w:pPr>
              <w:pStyle w:val="Listenabsatz"/>
              <w:spacing w:line="240" w:lineRule="auto"/>
            </w:pPr>
          </w:p>
          <w:p>
            <w:pPr>
              <w:pStyle w:val="Listenabsatz"/>
              <w:numPr>
                <w:ilvl w:val="0"/>
                <w:numId w:val="5"/>
              </w:numPr>
              <w:spacing w:line="240" w:lineRule="auto"/>
            </w:pPr>
            <w:r>
              <w:t>Application-related additional tests can be integrated</w:t>
            </w:r>
          </w:p>
          <w:p>
            <w:pPr>
              <w:pStyle w:val="Listenabsatz"/>
              <w:spacing w:line="240" w:lineRule="auto"/>
            </w:pPr>
          </w:p>
        </w:tc>
      </w:tr>
    </w:tbl>
    <w:p/>
    <w:p>
      <w:pPr>
        <w:pStyle w:val="berschrift1"/>
      </w:pPr>
      <w:r>
        <w:t xml:space="preserve">Depalletizing with VMT </w:t>
      </w:r>
      <w:proofErr w:type="spellStart"/>
      <w:r>
        <w:t>DeStack</w:t>
      </w:r>
      <w:proofErr w:type="spellEnd"/>
    </w:p>
    <w:p>
      <w:pPr>
        <w:rPr>
          <w:rFonts w:ascii="Arial" w:eastAsia="Calibri" w:hAnsi="Arial" w:cs="Arial"/>
          <w:b/>
          <w:bCs/>
        </w:rPr>
      </w:pPr>
      <w:r>
        <w:rPr>
          <w:rFonts w:ascii="Arial" w:hAnsi="Arial"/>
          <w:b/>
        </w:rPr>
        <w:t xml:space="preserve">The main application for the VMT </w:t>
      </w:r>
      <w:proofErr w:type="spellStart"/>
      <w:r>
        <w:rPr>
          <w:rFonts w:ascii="Arial" w:hAnsi="Arial"/>
          <w:b/>
        </w:rPr>
        <w:t>DeStack</w:t>
      </w:r>
      <w:proofErr w:type="spellEnd"/>
      <w:r>
        <w:rPr>
          <w:rFonts w:ascii="Arial" w:hAnsi="Arial"/>
          <w:b/>
        </w:rPr>
        <w:t xml:space="preserve"> depalletizing system is in logistics where it is used for de-stacking pallets efficiently.</w:t>
      </w:r>
    </w:p>
    <w:p>
      <w:pPr>
        <w:rPr>
          <w:rFonts w:ascii="Arial" w:eastAsia="Calibri" w:hAnsi="Arial" w:cs="Arial"/>
          <w:b/>
          <w:bCs/>
        </w:rPr>
      </w:pPr>
      <w:r>
        <w:rPr>
          <w:rFonts w:ascii="Arial" w:hAnsi="Arial"/>
          <w:b/>
        </w:rPr>
        <w:t xml:space="preserve">The requirements for a depalletizing system can be summed up easily—the pallet should be de-stacked as quickly as possible with zero errors. This is linked to various conditions that are fulfilled by VMT </w:t>
      </w:r>
      <w:proofErr w:type="spellStart"/>
      <w:r>
        <w:rPr>
          <w:rFonts w:ascii="Arial" w:hAnsi="Arial"/>
          <w:b/>
        </w:rPr>
        <w:t>DeStack</w:t>
      </w:r>
      <w:proofErr w:type="spellEnd"/>
      <w:r>
        <w:rPr>
          <w:rFonts w:ascii="Arial" w:hAnsi="Arial"/>
          <w:b/>
        </w:rPr>
        <w:t>.</w:t>
      </w:r>
    </w:p>
    <w:p>
      <w:pPr>
        <w:rPr>
          <w:b/>
          <w:bCs/>
        </w:rPr>
      </w:pPr>
      <w:r>
        <w:rPr>
          <w:b/>
        </w:rPr>
        <w:t xml:space="preserve">VMT </w:t>
      </w:r>
      <w:proofErr w:type="spellStart"/>
      <w:r>
        <w:rPr>
          <w:b/>
        </w:rPr>
        <w:t>DeStack</w:t>
      </w:r>
      <w:proofErr w:type="spellEnd"/>
      <w:r>
        <w:rPr>
          <w:b/>
        </w:rPr>
        <w:t xml:space="preserve"> Satisfies Complex Conditions for Depalletizing</w:t>
      </w:r>
    </w:p>
    <w:p>
      <w:pPr>
        <w:rPr>
          <w:b/>
          <w:bCs/>
        </w:rPr>
      </w:pPr>
      <w:r>
        <w:t xml:space="preserve">The VMT </w:t>
      </w:r>
      <w:proofErr w:type="spellStart"/>
      <w:r>
        <w:t>DeStack</w:t>
      </w:r>
      <w:proofErr w:type="spellEnd"/>
      <w:r>
        <w:t xml:space="preserve"> depalletizing system recognizes various types of crates without prior type specification and operates with a high positional accuracy of ±1 mm. The crates are arranged in a definable order, from front to rear and from top to bottom. The system is configured to operate in a fast cycle time of less than ten seconds and automatically detects potential problems such as tilted crates or obstacles that could damage the gripper. If necessary, the fill level of the crates can also be detected without slowing down the sequences</w:t>
      </w:r>
      <w:r>
        <w:br/>
      </w:r>
      <w:r>
        <w:br/>
      </w:r>
      <w:r>
        <w:rPr>
          <w:b/>
        </w:rPr>
        <w:t>Precise Image Processing and Flexible Applications</w:t>
      </w:r>
    </w:p>
    <w:p>
      <w:pPr>
        <w:rPr>
          <w:rFonts w:ascii="Arial" w:eastAsia="Calibri" w:hAnsi="Arial" w:cs="Arial"/>
        </w:rPr>
      </w:pPr>
      <w:r>
        <w:t xml:space="preserve">The VMT </w:t>
      </w:r>
      <w:proofErr w:type="spellStart"/>
      <w:r>
        <w:t>DeepScan</w:t>
      </w:r>
      <w:proofErr w:type="spellEnd"/>
      <w:r>
        <w:t xml:space="preserve"> 3-D stereo sensor creates a detailed point cloud of the pallet and the crates stacked on it. This raw data is analyzed by multi-stage image processing to extract relevant information such as the exact position of the crates. The system first cuts the point cloud to the top level before it selects the next crate for removal and checks whether there are any obstacles. Automated fallback levels ensure a high level of reliability. By virtue of its flexible construction, VMT </w:t>
      </w:r>
      <w:proofErr w:type="spellStart"/>
      <w:r>
        <w:t>DeStack</w:t>
      </w:r>
      <w:proofErr w:type="spellEnd"/>
      <w:r>
        <w:t xml:space="preserve"> is not just limited to crate depalletization tasks, but can also be used for other de-stacking applications.</w:t>
      </w:r>
      <w:r>
        <w:br/>
      </w: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035"/>
        <w:gridCol w:w="6361"/>
      </w:tblGrid>
      <w:tr>
        <w:tc>
          <w:tcPr>
            <w:tcW w:w="9062" w:type="dxa"/>
            <w:gridSpan w:val="2"/>
          </w:tcPr>
          <w:p>
            <w:pPr>
              <w:jc w:val="center"/>
              <w:rPr>
                <w:rFonts w:ascii="Arial" w:eastAsia="Calibri" w:hAnsi="Arial" w:cs="Arial"/>
              </w:rPr>
            </w:pPr>
            <w:r>
              <w:rPr>
                <w:noProof/>
              </w:rPr>
              <w:drawing>
                <wp:inline distT="0" distB="0" distL="0" distR="0">
                  <wp:extent cx="5972810" cy="3985895"/>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810" cy="3985895"/>
                          </a:xfrm>
                          <a:prstGeom prst="rect">
                            <a:avLst/>
                          </a:prstGeom>
                          <a:noFill/>
                          <a:ln>
                            <a:noFill/>
                          </a:ln>
                        </pic:spPr>
                      </pic:pic>
                    </a:graphicData>
                  </a:graphic>
                </wp:inline>
              </w:drawing>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rPr>
                <w:rFonts w:ascii="Arial" w:hAnsi="Arial"/>
              </w:rPr>
              <w:t xml:space="preserve">VMT </w:t>
            </w:r>
            <w:proofErr w:type="spellStart"/>
            <w:r>
              <w:rPr>
                <w:rFonts w:ascii="Arial" w:hAnsi="Arial"/>
              </w:rPr>
              <w:t>DeStack</w:t>
            </w:r>
            <w:proofErr w:type="spellEnd"/>
            <w:r>
              <w:rPr>
                <w:rFonts w:ascii="Arial" w:hAnsi="Arial"/>
              </w:rPr>
              <w:t xml:space="preserve"> satisfies complex conditions for depalletizing</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Joachim Kutschka</w:t>
            </w:r>
          </w:p>
        </w:tc>
      </w:tr>
      <w:tr>
        <w:tc>
          <w:tcPr>
            <w:tcW w:w="2830" w:type="dxa"/>
          </w:tcPr>
          <w:p>
            <w:pPr>
              <w:rPr>
                <w:rFonts w:ascii="Arial" w:eastAsia="Calibri" w:hAnsi="Arial" w:cs="Arial"/>
                <w:b/>
                <w:bCs/>
              </w:rPr>
            </w:pPr>
            <w:r>
              <w:rPr>
                <w:rFonts w:ascii="Arial" w:hAnsi="Arial"/>
                <w:b/>
              </w:rPr>
              <w:t>Keywords</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Characters in summary</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report—press kit</w:t>
            </w:r>
          </w:p>
        </w:tc>
      </w:tr>
      <w:tr>
        <w:tc>
          <w:tcPr>
            <w:tcW w:w="2830" w:type="dxa"/>
          </w:tcPr>
          <w:p>
            <w:pPr>
              <w:rPr>
                <w:rFonts w:ascii="Arial" w:eastAsia="Calibri" w:hAnsi="Arial" w:cs="Arial"/>
                <w:b/>
                <w:bCs/>
              </w:rPr>
            </w:pPr>
            <w:r>
              <w:rPr>
                <w:rFonts w:ascii="Arial" w:hAnsi="Arial"/>
                <w:b/>
              </w:rPr>
              <w:t>Business division</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proofErr w:type="spellStart"/>
            <w:r>
              <w:rPr>
                <w:rFonts w:ascii="Arial" w:hAnsi="Arial"/>
                <w:color w:val="595959"/>
              </w:rPr>
              <w:t>Pepperl+Fuchs</w:t>
            </w:r>
            <w:proofErr w:type="spellEnd"/>
            <w:r>
              <w:rPr>
                <w:rFonts w:ascii="Arial" w:hAnsi="Arial"/>
                <w:color w:val="595959"/>
              </w:rPr>
              <w:t xml:space="preserve">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proofErr w:type="spellStart"/>
            <w:r>
              <w:rPr>
                <w:rFonts w:ascii="Arial" w:hAnsi="Arial"/>
                <w:color w:val="595959"/>
                <w:lang w:val="de-DE"/>
              </w:rPr>
              <w:t>Pepperl+Fuchs</w:t>
            </w:r>
            <w:proofErr w:type="spellEnd"/>
            <w:r>
              <w:rPr>
                <w:rFonts w:ascii="Arial" w:hAnsi="Arial"/>
                <w:color w:val="595959"/>
                <w:lang w:val="de-DE"/>
              </w:rPr>
              <w:t xml:space="preserve">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8"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9" w:history="1">
        <w:r>
          <w:rPr>
            <w:rStyle w:val="Hyperlink"/>
            <w:rFonts w:ascii="Arial" w:hAnsi="Arial"/>
            <w:b/>
            <w:lang w:val="de-DE"/>
          </w:rPr>
          <w:t>https://www.vmt-systems.com/</w:t>
        </w:r>
      </w:hyperlink>
    </w:p>
    <w:p>
      <w:pPr>
        <w:rPr>
          <w:rFonts w:ascii="Arial" w:eastAsia="Calibri" w:hAnsi="Arial" w:cs="Arial"/>
        </w:rPr>
      </w:pPr>
      <w:r>
        <w:rPr>
          <w:rFonts w:ascii="Arial" w:hAnsi="Arial"/>
        </w:rPr>
        <w:t>For use free-of-charge in publications.</w:t>
      </w:r>
    </w:p>
    <w:sectPr>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sz w:val="16"/>
      </w:rPr>
      <w:t>FA-</w:t>
    </w:r>
    <w:proofErr w:type="spellStart"/>
    <w:r>
      <w:rPr>
        <w:sz w:val="16"/>
      </w:rPr>
      <w:t>ENG_Depalletizing_with_VMT_DeStack_press_kit_LogiMAT</w:t>
    </w:r>
    <w:proofErr w:type="spellEnd"/>
    <w:r>
      <w:tab/>
    </w:r>
    <w:r>
      <w:rPr>
        <w:noProof/>
      </w:rPr>
      <w:drawing>
        <wp:inline distT="0" distB="0" distL="0" distR="0">
          <wp:extent cx="443450" cy="171424"/>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470943" cy="182052"/>
                  </a:xfrm>
                  <a:prstGeom prst="rect">
                    <a:avLst/>
                  </a:prstGeom>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93337"/>
    <w:multiLevelType w:val="hybridMultilevel"/>
    <w:tmpl w:val="12188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921"/>
    <w:multiLevelType w:val="hybridMultilevel"/>
    <w:tmpl w:val="95569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vmt-systems.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349</Words>
  <Characters>2203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4</cp:revision>
  <dcterms:created xsi:type="dcterms:W3CDTF">2025-02-12T12:25:00Z</dcterms:created>
  <dcterms:modified xsi:type="dcterms:W3CDTF">2025-02-14T17:13:00Z</dcterms:modified>
</cp:coreProperties>
</file>