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pStyle w:val="Listenabsatz"/>
              <w:numPr>
                <w:ilvl w:val="0"/>
                <w:numId w:val="5"/>
              </w:numPr>
              <w:rPr>
                <w:rFonts w:ascii="Arial" w:hAnsi="Arial" w:cs="Arial"/>
                <w:b/>
                <w:bCs/>
              </w:rPr>
            </w:pPr>
            <w:r>
              <w:rPr>
                <w:rFonts w:ascii="Arial" w:hAnsi="Arial" w:cs="Arial"/>
                <w:b/>
                <w:bCs/>
              </w:rPr>
              <w:t>Auf einen Blick</w:t>
            </w:r>
          </w:p>
          <w:p>
            <w:pPr>
              <w:rPr>
                <w:rFonts w:ascii="Arial" w:hAnsi="Arial" w:cs="Arial"/>
                <w:b/>
                <w:bCs/>
              </w:rPr>
            </w:pPr>
          </w:p>
          <w:p>
            <w:pPr>
              <w:pStyle w:val="Listenabsatz"/>
              <w:numPr>
                <w:ilvl w:val="0"/>
                <w:numId w:val="5"/>
              </w:numPr>
              <w:spacing w:line="240" w:lineRule="auto"/>
            </w:pPr>
            <w:r>
              <w:t>Lageermittlung: Hochgenaue Positionsermittlung von relevanten Teilbereichen</w:t>
            </w:r>
            <w:r>
              <w:br/>
            </w:r>
          </w:p>
          <w:p>
            <w:pPr>
              <w:pStyle w:val="Listenabsatz"/>
              <w:numPr>
                <w:ilvl w:val="0"/>
                <w:numId w:val="5"/>
              </w:numPr>
              <w:spacing w:line="240" w:lineRule="auto"/>
            </w:pPr>
            <w:r>
              <w:t>Lifecycle Management: Überprüft Zustand, Qualität und Geometrie</w:t>
            </w:r>
          </w:p>
          <w:p>
            <w:pPr>
              <w:pStyle w:val="Listenabsatz"/>
              <w:spacing w:line="240" w:lineRule="auto"/>
            </w:pPr>
          </w:p>
          <w:p>
            <w:pPr>
              <w:pStyle w:val="Listenabsatz"/>
              <w:numPr>
                <w:ilvl w:val="0"/>
                <w:numId w:val="5"/>
              </w:numPr>
              <w:spacing w:line="240" w:lineRule="auto"/>
            </w:pPr>
            <w:r>
              <w:t>Flexibilität der Systemauslegung</w:t>
            </w:r>
          </w:p>
          <w:p>
            <w:pPr>
              <w:spacing w:line="240" w:lineRule="auto"/>
            </w:pPr>
          </w:p>
          <w:p>
            <w:pPr>
              <w:pStyle w:val="Listenabsatz"/>
              <w:spacing w:line="240" w:lineRule="auto"/>
            </w:pPr>
          </w:p>
        </w:tc>
      </w:tr>
    </w:tbl>
    <w:p/>
    <w:p>
      <w:pPr>
        <w:rPr>
          <w:rFonts w:ascii="Arial" w:eastAsia="Calibri" w:hAnsi="Arial" w:cs="Arial"/>
          <w:b/>
          <w:bCs/>
          <w:sz w:val="36"/>
          <w:szCs w:val="36"/>
        </w:rPr>
      </w:pPr>
      <w:r>
        <w:rPr>
          <w:rFonts w:ascii="Arial" w:eastAsia="Calibri" w:hAnsi="Arial" w:cs="Arial"/>
          <w:b/>
          <w:bCs/>
          <w:sz w:val="36"/>
          <w:szCs w:val="36"/>
        </w:rPr>
        <w:t>Pressteil-Handling mit VMT FrameSense</w:t>
      </w:r>
    </w:p>
    <w:p>
      <w:pPr>
        <w:rPr>
          <w:rFonts w:ascii="Arial" w:eastAsia="Calibri" w:hAnsi="Arial" w:cs="Arial"/>
          <w:b/>
          <w:bCs/>
        </w:rPr>
      </w:pPr>
      <w:r>
        <w:rPr>
          <w:rFonts w:ascii="Arial" w:eastAsia="Calibri" w:hAnsi="Arial" w:cs="Arial"/>
          <w:b/>
          <w:bCs/>
        </w:rPr>
        <w:t>VMT FrameSense ist ein statisches, ausfallsicheres 3D-Messsystem, welches durch seine hochauflösenden 3D-Sensoren eine präzise Messung ermöglicht.</w:t>
      </w:r>
    </w:p>
    <w:p>
      <w:pPr>
        <w:rPr>
          <w:rFonts w:ascii="Arial" w:eastAsia="Calibri" w:hAnsi="Arial" w:cs="Arial"/>
          <w:b/>
          <w:bCs/>
        </w:rPr>
      </w:pPr>
      <w:r>
        <w:rPr>
          <w:rFonts w:ascii="Arial" w:eastAsia="Calibri" w:hAnsi="Arial" w:cs="Arial"/>
          <w:b/>
          <w:bCs/>
        </w:rPr>
        <w:t>VMT FrameSense wurde speziell für die Typen-, Form- und Positionsprüfung von Behältern und das automatische Einstapeln von Fertigteilen per Roboter entwickelt und erfüllt damit alle prozess- und betriebstechnischen Anforderungen in Presswerken.</w:t>
      </w:r>
    </w:p>
    <w:p>
      <w:pPr>
        <w:rPr>
          <w:rFonts w:ascii="Arial" w:eastAsia="Calibri" w:hAnsi="Arial" w:cs="Arial"/>
          <w:b/>
          <w:bCs/>
        </w:rPr>
      </w:pPr>
    </w:p>
    <w:p>
      <w:pPr>
        <w:rPr>
          <w:b/>
          <w:bCs/>
        </w:rPr>
      </w:pPr>
      <w:r>
        <w:rPr>
          <w:b/>
          <w:bCs/>
        </w:rPr>
        <w:t>Präzise Messung durch 3D-Sensoren</w:t>
      </w:r>
    </w:p>
    <w:p>
      <w:r>
        <w:t>VMT FrameSense gewährleistet durch eine hochpräzise 3D-Punktewolke der Behälter eine hochgenaue Positionsermittlung sowie eine zuverlässige Überwachung der Verriegelungen und verhindert Kollisionen mit störenden Kanten und Konturen. Diese Messdaten sind entscheidend für eine sichere und effiziente Prozesssteuerung. So kann der Roboter verschiedene Behältertypen und -größen millimetergenau erkennen und handhaben. Darüber hinaus liefern die 3D-Daten wertvolle Informationen für die Qualitäts- und Geometriekontrolle sowie das Lifecycle Management der Behälter.</w:t>
      </w:r>
    </w:p>
    <w:p/>
    <w:p>
      <w:pPr>
        <w:rPr>
          <w:b/>
          <w:bCs/>
        </w:rPr>
      </w:pPr>
      <w:r>
        <w:rPr>
          <w:b/>
          <w:bCs/>
        </w:rPr>
        <w:t>Einfaches Handling und flexible Systemarchitektur</w:t>
      </w:r>
    </w:p>
    <w:p>
      <w:r>
        <w:t>VMT FrameSense zeichnet sich durch einfache Einrichtung, Bedienung und Wartung aus. Dank fehlender beweglicher Komponenten bietet das System eine höchstmögliche Robustheit und Genauigkeit.</w:t>
      </w:r>
    </w:p>
    <w:p>
      <w:pPr>
        <w:rPr>
          <w:rFonts w:ascii="Arial" w:eastAsia="Calibri" w:hAnsi="Arial" w:cs="Arial"/>
        </w:rPr>
      </w:pPr>
      <w:r>
        <w:lastRenderedPageBreak/>
        <w:t>Um Behälter zu unterscheiden und ihre Position und Geometrie zu messen, verwendet VMT FrameSense ein formbasiertes Antastverfahren, das die komplette Außenkontur des Bauteils erfasst. Je nach Applikationsfall und eingesetzten Behältern kann die Anzahl und Anordnung der Sensorik variabel ausgelegt werden. Durch die kontinuierliche Erweiterung der VMT-Softwareplattform um neue Algorithmen, Auswerteverfahren und Applikationen bleibt das System flexibel und anpassungsfähig für unterschiedliche Anwendungen.</w:t>
      </w:r>
      <w:r>
        <w:br/>
      </w: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86"/>
        <w:gridCol w:w="6010"/>
      </w:tblGrid>
      <w:tr>
        <w:tc>
          <w:tcPr>
            <w:tcW w:w="9062" w:type="dxa"/>
            <w:gridSpan w:val="2"/>
          </w:tcPr>
          <w:p>
            <w:pPr>
              <w:jc w:val="center"/>
              <w:rPr>
                <w:rFonts w:ascii="Arial" w:eastAsia="Calibri" w:hAnsi="Arial" w:cs="Arial"/>
              </w:rPr>
            </w:pPr>
            <w:r>
              <w:rPr>
                <w:noProof/>
              </w:rPr>
              <w:drawing>
                <wp:inline distT="0" distB="0" distL="0" distR="0">
                  <wp:extent cx="5972810" cy="3275965"/>
                  <wp:effectExtent l="0" t="0" r="889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3275965"/>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rPr>
                <w:rFonts w:ascii="Arial" w:eastAsia="Calibri" w:hAnsi="Arial" w:cs="Arial"/>
              </w:rPr>
              <w:t>VMT FrameSense erkennt verschiedenste Behältertypen und -größen.</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p>
        </w:tc>
      </w:tr>
    </w:tbl>
    <w:p>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t>Joachim Kutschka</w:t>
            </w:r>
          </w:p>
        </w:tc>
      </w:tr>
      <w:tr>
        <w:tc>
          <w:tcPr>
            <w:tcW w:w="2830" w:type="dxa"/>
          </w:tcPr>
          <w:p>
            <w:pPr>
              <w:rPr>
                <w:rFonts w:ascii="Arial" w:eastAsia="Calibri" w:hAnsi="Arial" w:cs="Arial"/>
                <w:b/>
                <w:bCs/>
              </w:rPr>
            </w:pPr>
            <w:r>
              <w:rPr>
                <w:rFonts w:ascii="Arial" w:eastAsia="Calibri" w:hAnsi="Arial" w:cs="Arial"/>
                <w:b/>
                <w:bCs/>
              </w:rPr>
              <w:t>Schlagworte</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1766 mit Leerzeichen</w:t>
            </w: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r>
              <w:rPr>
                <w:rFonts w:ascii="Arial" w:eastAsia="Calibri" w:hAnsi="Arial" w:cs="Arial"/>
              </w:rPr>
              <w:t>390 mit Leerzeichen</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r>
        <w:tc>
          <w:tcPr>
            <w:tcW w:w="2830" w:type="dxa"/>
          </w:tcPr>
          <w:p>
            <w:pPr>
              <w:rPr>
                <w:rFonts w:ascii="Arial" w:eastAsia="Calibri" w:hAnsi="Arial" w:cs="Arial"/>
                <w:b/>
                <w:bCs/>
              </w:rPr>
            </w:pPr>
            <w:r>
              <w:rPr>
                <w:rFonts w:ascii="Arial" w:eastAsia="Calibri" w:hAnsi="Arial" w:cs="Arial"/>
                <w:b/>
                <w:bCs/>
              </w:rPr>
              <w:t>Geschäftsbereich</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8"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9" w:history="1">
        <w:r>
          <w:rPr>
            <w:rStyle w:val="Hyperlink"/>
            <w:rFonts w:ascii="Arial" w:eastAsia="Calibri" w:hAnsi="Arial" w:cs="Arial"/>
            <w:b/>
          </w:rPr>
          <w:t>https://www.vmt-systems.com/</w:t>
        </w:r>
      </w:hyperlink>
    </w:p>
    <w:p>
      <w:pPr>
        <w:rPr>
          <w:rFonts w:ascii="Arial" w:eastAsia="Calibri" w:hAnsi="Arial" w:cs="Arial"/>
        </w:rPr>
      </w:pPr>
      <w:r>
        <w:rPr>
          <w:rFonts w:ascii="Arial" w:eastAsia="Calibri" w:hAnsi="Arial" w:cs="Arial"/>
        </w:rPr>
        <w:t>Zur honorarfreien Verwendung für Redaktionen.</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rFonts w:eastAsia="Times New Roman" w:cs="Times New Roman"/>
        <w:sz w:val="16"/>
        <w:szCs w:val="24"/>
        <w:lang w:eastAsia="de-DE"/>
      </w:rPr>
      <w:t>VMT_GER_Pressteil_Handling_VMT_FrameSense_Pressemappe_LogiMAT</w:t>
    </w:r>
    <w:r>
      <w:rPr>
        <w:rFonts w:eastAsia="Times New Roman" w:cs="Times New Roman"/>
        <w:szCs w:val="20"/>
        <w:lang w:eastAsia="de-DE"/>
      </w:rPr>
      <w:tab/>
    </w:r>
    <w:r>
      <w:rPr>
        <w:rFonts w:eastAsia="Times New Roman" w:cs="Times New Roman"/>
        <w:noProof/>
        <w:szCs w:val="20"/>
        <w:lang w:val="en-US"/>
      </w:rPr>
      <w:drawing>
        <wp:inline distT="0" distB="0" distL="0" distR="0">
          <wp:extent cx="443450" cy="171424"/>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470943" cy="182052"/>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mt-system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375</Words>
  <Characters>2366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10</cp:revision>
  <dcterms:created xsi:type="dcterms:W3CDTF">2024-09-25T13:06:00Z</dcterms:created>
  <dcterms:modified xsi:type="dcterms:W3CDTF">2025-02-14T16:27:00Z</dcterms:modified>
</cp:coreProperties>
</file>