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lang w:val="en-US"/>
        </w:rPr>
      </w:pPr>
    </w:p>
    <w:p>
      <w:pPr>
        <w:pStyle w:val="berschrift1"/>
        <w:rPr>
          <w:lang w:val="de-DE"/>
        </w:rPr>
      </w:pPr>
      <w:r>
        <w:rPr>
          <w:lang w:val="de-DE"/>
        </w:rPr>
        <w:t>Gehäusekombinationen im elektrischen Explosionsschutz – Flexibel und sicher</w:t>
      </w:r>
    </w:p>
    <w:p>
      <w:pPr>
        <w:pStyle w:val="berschrift2"/>
        <w:rPr>
          <w:lang w:val="de-DE"/>
        </w:rPr>
      </w:pPr>
    </w:p>
    <w:p>
      <w:pPr>
        <w:rPr>
          <w:rFonts w:ascii="Arial" w:eastAsia="Calibri" w:hAnsi="Arial" w:cs="Arial"/>
          <w:b/>
          <w:bCs/>
        </w:rPr>
      </w:pPr>
      <w:r>
        <w:rPr>
          <w:rFonts w:ascii="Arial" w:eastAsia="Calibri" w:hAnsi="Arial" w:cs="Arial"/>
          <w:b/>
          <w:bCs/>
        </w:rPr>
        <w:t>Um den individuellen Anforderungen in der Prozessautomation gerecht zu werden, setzen Kunden häufig auf die Kombination mehrerer Gehäuse zur Erstellung einer Gesamtlösung. Besonders bewährt hat sich die Verbindung von druckfest gekapselten Ex d Gehäusen mit solchen der Zündschutzart "erhöhte Sicherheit" Ex e. Diese sogenannten Ex de Lösungen ermöglichen den sicheren Einsatz von Nicht-Ex-Bauteilen im Ex d Gehäuse, während das Ex e Gehäuse den Anschlussbereich für Verkabelung und Bedienkomponenten bereitstellt. Diese Aufteilung bringt zahlreiche Vorteile – von einer vereinfachten Installation bis hin zu einer komfortableren Wartung im laufenden Betrieb.</w:t>
      </w:r>
    </w:p>
    <w:p>
      <w:r>
        <w:rPr>
          <w:b/>
          <w:bCs/>
        </w:rPr>
        <w:t>Optimierte Lösungen mit Ex de Gehäuselösungen</w:t>
      </w:r>
      <w:r>
        <w:rPr>
          <w:b/>
          <w:bCs/>
        </w:rPr>
        <w:br/>
      </w:r>
      <w:r>
        <w:br/>
        <w:t xml:space="preserve">Beim Anschluss eines druckfest gekapselten Systems in der Anlage sowie bei Wartungsarbeiten müssen strikte Vorgaben der IEC 60079-14 eingehalten werden. Die Kombination von Ex d und Ex e reduziert hier den Aufwand erheblich. </w:t>
      </w:r>
      <w:proofErr w:type="spellStart"/>
      <w:r>
        <w:t>Pepperl+Fuchs</w:t>
      </w:r>
      <w:proofErr w:type="spellEnd"/>
      <w:r>
        <w:t xml:space="preserve"> bietet maßgeschneiderte Ex de Lösungen, bei denen ein Ex d Gehäuse mit einem Ex e Gehäuse kombiniert wird. Dabei gibt es bezüglicher der Anordnung keine Beschränkungen. Die Gehäuse sind durch speziell entwickelte Aderleitungsdurchführungen sicher verbunden, während ein Flansch gewährleistet, dass das Eindringen von Schmutz und Feuchtigkeit verhindert und der IP-Schutz eingehalten wird.</w:t>
      </w:r>
      <w:r>
        <w:br/>
      </w:r>
      <w:r>
        <w:br/>
        <w:t> </w:t>
      </w:r>
      <w:r>
        <w:br/>
        <w:t xml:space="preserve">Die Ex e Anschluss- und Steuerkästen basieren auf robusten Gehäusen aus eigener Herstellung. Eine breite Auswahl an Bedienelementen erlaubt eine einfache Anpassung an kundenspezifische Anforderungen. Die Kombination ermöglicht eine einfache Erweiterung und Modifikation der Bedienelemente im Ex e Gehäuse, während die industriellen Steuerkomponenten im verschlossenem und zertifizierten Ex d Gehäuse optimal geschützt bleiben. Das Resultat: eine schnelle Inbetriebnahme mit minimalen </w:t>
      </w:r>
      <w:proofErr w:type="spellStart"/>
      <w:r>
        <w:t>Stillstandszeiten</w:t>
      </w:r>
      <w:proofErr w:type="spellEnd"/>
      <w:r>
        <w:t xml:space="preserve"> sowie reduzierte Wartungskosten über die gesamte Lebensdauer der Anlage hinweg.</w:t>
      </w:r>
      <w:r>
        <w:br/>
      </w:r>
      <w:r>
        <w:br/>
      </w:r>
      <w:r>
        <w:rPr>
          <w:b/>
          <w:bCs/>
        </w:rPr>
        <w:lastRenderedPageBreak/>
        <w:t>Weitere flexible Flanschlösungen für maximale Anpassungsfähigkeit</w:t>
      </w:r>
      <w:r>
        <w:br/>
      </w:r>
      <w:r>
        <w:br/>
        <w:t xml:space="preserve">Nicht nur Ex de Kombinationen bieten entscheidende Vorteile – auch die Verbindung von Ex e Gehäusen untereinander schafft flexible Lösungen für komplexe Anwendungen. Oftmals erfordert eine Applikation mehr Platz, als ein einzelnes Gehäuse bietet. Durch das Flanschen mehrerer Ex e Gehäuse lassen sich größere Steuerungen und Trennungen zwischen verschiedenen Funktionsbereichen realisieren. </w:t>
      </w:r>
      <w:proofErr w:type="spellStart"/>
      <w:r>
        <w:t>Pepperl+Fuchs</w:t>
      </w:r>
      <w:proofErr w:type="spellEnd"/>
      <w:r>
        <w:t xml:space="preserve"> bietet sowohl Kunststoff- als auch Edelstahlgehäuse, die durch flexible Flanschlösungen modular erweitert werden können. Diese modulare Bauweise sorgt für höchste Flexibilität in der Anlagengestaltung und ermöglicht individuelle Anpassungen für verschiedene Industrieanforderungen. </w:t>
      </w:r>
      <w:r>
        <w:br/>
      </w:r>
      <w:r>
        <w:br/>
        <w:t xml:space="preserve">Mit den innovativen Gehäusekombinationen von </w:t>
      </w:r>
      <w:proofErr w:type="spellStart"/>
      <w:r>
        <w:t>Pepperl+Fuchs</w:t>
      </w:r>
      <w:proofErr w:type="spellEnd"/>
      <w:r>
        <w:t xml:space="preserve"> profitieren Anwender von einer optimalen Verbindung aus Sicherheit, Wartungsfreundlichkeit und Anpassungsfähigkeit – eine zukunftssichere Lösung für die Herausforderungen der modernen Prozessautomation.</w:t>
      </w:r>
    </w:p>
    <w:p>
      <w:pPr>
        <w:rPr>
          <w:rFonts w:ascii="Arial" w:eastAsia="Calibri" w:hAnsi="Arial" w:cs="Arial"/>
        </w:rPr>
      </w:pP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6"/>
        <w:gridCol w:w="6070"/>
      </w:tblGrid>
      <w:tr>
        <w:tc>
          <w:tcPr>
            <w:tcW w:w="9062" w:type="dxa"/>
            <w:gridSpan w:val="2"/>
          </w:tcPr>
          <w:p>
            <w:pPr>
              <w:jc w:val="center"/>
              <w:rPr>
                <w:rFonts w:ascii="Arial" w:eastAsia="Calibri" w:hAnsi="Arial" w:cs="Arial"/>
              </w:rPr>
            </w:pPr>
            <w:r>
              <w:rPr>
                <w:rFonts w:ascii="Arial" w:eastAsia="Calibri"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20.75pt">
                  <v:imagedata r:id="rId7"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 xml:space="preserve">Ein Ex de DC Stromverteiler montiert auf einem speziell </w:t>
            </w:r>
            <w:proofErr w:type="spellStart"/>
            <w:r>
              <w:t>angefertigen</w:t>
            </w:r>
            <w:proofErr w:type="spellEnd"/>
            <w:r>
              <w:t xml:space="preserve"> Rahmen. Eingesetzt wurde diese Lösung auf einer Offshore </w:t>
            </w:r>
            <w:proofErr w:type="spellStart"/>
            <w:r>
              <w:t>Platform</w:t>
            </w:r>
            <w:proofErr w:type="spellEnd"/>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8" w:history="1">
              <w:r>
                <w:rPr>
                  <w:color w:val="0066CC"/>
                </w:rPr>
                <w:t>https://myconvento.com/public/get_file.php?id=enc2_WjFsb2EyVkdWVEJVZDBGWk0xQnlORWhEUW1sSWR6MDk&amp;download=1</w:t>
              </w:r>
            </w:hyperlink>
          </w:p>
        </w:tc>
      </w:tr>
    </w:tbl>
    <w:p>
      <w:pPr>
        <w:rPr>
          <w:rFonts w:ascii="Arial" w:eastAsia="Calibri" w:hAnsi="Arial" w:cs="Arial"/>
        </w:rPr>
      </w:pPr>
    </w:p>
    <w:p>
      <w:pPr>
        <w:rPr>
          <w:rFonts w:ascii="Arial" w:eastAsia="Calibri" w:hAnsi="Arial" w:cs="Arial"/>
        </w:rPr>
      </w:pP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11"/>
        <w:gridCol w:w="6085"/>
      </w:tblGrid>
      <w:tr>
        <w:tc>
          <w:tcPr>
            <w:tcW w:w="9062" w:type="dxa"/>
            <w:gridSpan w:val="2"/>
          </w:tcPr>
          <w:p>
            <w:pPr>
              <w:jc w:val="center"/>
              <w:rPr>
                <w:rFonts w:ascii="Arial" w:eastAsia="Calibri" w:hAnsi="Arial" w:cs="Arial"/>
              </w:rPr>
            </w:pPr>
            <w:r>
              <w:rPr>
                <w:rFonts w:ascii="Arial" w:eastAsia="Calibri" w:hAnsi="Arial" w:cs="Arial"/>
              </w:rPr>
              <w:pict>
                <v:shape id="_x0000_i1026" type="#_x0000_t75" style="width:162.75pt;height:300pt">
                  <v:imagedata r:id="rId9" o:title=""/>
                </v:shape>
              </w:pict>
            </w:r>
          </w:p>
        </w:tc>
      </w:tr>
      <w:tr>
        <w:tc>
          <w:tcPr>
            <w:tcW w:w="2689" w:type="dxa"/>
          </w:tcPr>
          <w:p>
            <w:pPr>
              <w:rPr>
                <w:rFonts w:ascii="Arial" w:eastAsia="Calibri" w:hAnsi="Arial" w:cs="Arial"/>
                <w:b/>
                <w:bCs/>
              </w:rPr>
            </w:pPr>
            <w:r>
              <w:rPr>
                <w:rFonts w:ascii="Arial" w:eastAsia="Calibri" w:hAnsi="Arial" w:cs="Arial"/>
                <w:b/>
                <w:bCs/>
              </w:rPr>
              <w:lastRenderedPageBreak/>
              <w:t>Bildunterschrift</w:t>
            </w:r>
          </w:p>
        </w:tc>
        <w:tc>
          <w:tcPr>
            <w:tcW w:w="6373" w:type="dxa"/>
          </w:tcPr>
          <w:p>
            <w:pPr>
              <w:rPr>
                <w:rFonts w:ascii="Arial" w:eastAsia="Calibri" w:hAnsi="Arial" w:cs="Arial"/>
              </w:rPr>
            </w:pPr>
            <w:r>
              <w:t>Kombination eines Ex d GUB Gehäuses mit Sichtscheibe und einem Ex e Kunststoffgehäuse der Serie GR als Steuerung.</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0" w:history="1">
              <w:r>
                <w:rPr>
                  <w:color w:val="0066CC"/>
                </w:rPr>
                <w:t>https://myconvento.com/public/get_file.php?id=enc2_Y2xCdE5rWkRaRGc1UWlzMk5IYzRlakpVVVd4dFVUMDk&amp;download=1</w:t>
              </w:r>
            </w:hyperlink>
          </w:p>
        </w:tc>
      </w:tr>
    </w:tbl>
    <w:p>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lastRenderedPageBreak/>
              <w:t>Autor</w:t>
            </w:r>
          </w:p>
        </w:tc>
        <w:tc>
          <w:tcPr>
            <w:tcW w:w="6232" w:type="dxa"/>
          </w:tcPr>
          <w:p>
            <w:pPr>
              <w:rPr>
                <w:rFonts w:ascii="Arial" w:eastAsia="Calibri" w:hAnsi="Arial" w:cs="Arial"/>
              </w:rPr>
            </w:pPr>
            <w:r>
              <w:t>Alexander Aust</w:t>
            </w:r>
          </w:p>
        </w:tc>
      </w:tr>
      <w:tr>
        <w:tc>
          <w:tcPr>
            <w:tcW w:w="2830" w:type="dxa"/>
          </w:tcPr>
          <w:p>
            <w:pPr>
              <w:rPr>
                <w:rFonts w:ascii="Arial" w:eastAsia="Calibri" w:hAnsi="Arial" w:cs="Arial"/>
                <w:b/>
                <w:bCs/>
              </w:rPr>
            </w:pPr>
            <w:r>
              <w:rPr>
                <w:rFonts w:ascii="Arial" w:eastAsia="Calibri" w:hAnsi="Arial" w:cs="Arial"/>
                <w:b/>
                <w:bCs/>
              </w:rPr>
              <w:t>Schlagworte</w:t>
            </w:r>
          </w:p>
        </w:tc>
        <w:tc>
          <w:tcPr>
            <w:tcW w:w="6232" w:type="dxa"/>
          </w:tcPr>
          <w:p>
            <w:pPr>
              <w:rPr>
                <w:rFonts w:ascii="Arial" w:eastAsia="Calibri" w:hAnsi="Arial" w:cs="Arial"/>
              </w:rPr>
            </w:pPr>
            <w:r>
              <w:t>Elektrische Komponenten und Systeme im Explosionsschutz; Elektrischer Explosionsschutz; Ex e; Ex d; Gehäuse-Serie; Ex de; Flansch; maßgeschneiderte Lösungen;</w:t>
            </w: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r>
              <w:rPr>
                <w:rFonts w:ascii="Arial" w:eastAsia="Calibri" w:hAnsi="Arial" w:cs="Arial"/>
              </w:rPr>
              <w:t>2.511 mit Leerzeichen</w:t>
            </w:r>
          </w:p>
        </w:tc>
      </w:tr>
      <w:tr>
        <w:tc>
          <w:tcPr>
            <w:tcW w:w="2830" w:type="dxa"/>
          </w:tcPr>
          <w:p>
            <w:pPr>
              <w:rPr>
                <w:rFonts w:ascii="Arial" w:eastAsia="Calibri" w:hAnsi="Arial" w:cs="Arial"/>
                <w:b/>
                <w:bCs/>
              </w:rPr>
            </w:pPr>
            <w:r>
              <w:rPr>
                <w:rFonts w:ascii="Arial" w:eastAsia="Calibri" w:hAnsi="Arial" w:cs="Arial"/>
                <w:b/>
                <w:bCs/>
              </w:rPr>
              <w:t>Zeichen Kurzfassung</w:t>
            </w:r>
          </w:p>
        </w:tc>
        <w:tc>
          <w:tcPr>
            <w:tcW w:w="6232" w:type="dxa"/>
          </w:tcPr>
          <w:p>
            <w:pPr>
              <w:rPr>
                <w:rFonts w:ascii="Arial" w:eastAsia="Calibri" w:hAnsi="Arial" w:cs="Arial"/>
              </w:rPr>
            </w:pPr>
            <w:r>
              <w:rPr>
                <w:rFonts w:ascii="Arial" w:eastAsia="Calibri" w:hAnsi="Arial" w:cs="Arial"/>
              </w:rPr>
              <w:t>674 mit Leerzeichen</w:t>
            </w:r>
          </w:p>
        </w:tc>
      </w:tr>
      <w:tr>
        <w:tc>
          <w:tcPr>
            <w:tcW w:w="2830" w:type="dxa"/>
          </w:tcPr>
          <w:p>
            <w:pPr>
              <w:rPr>
                <w:rFonts w:ascii="Arial" w:eastAsia="Calibri" w:hAnsi="Arial" w:cs="Arial"/>
                <w:b/>
                <w:bCs/>
              </w:rPr>
            </w:pPr>
            <w:r>
              <w:rPr>
                <w:rFonts w:ascii="Arial" w:eastAsia="Calibri" w:hAnsi="Arial" w:cs="Arial"/>
                <w:b/>
                <w:bCs/>
              </w:rPr>
              <w:t>Typ</w:t>
            </w:r>
          </w:p>
        </w:tc>
        <w:tc>
          <w:tcPr>
            <w:tcW w:w="6232" w:type="dxa"/>
          </w:tcPr>
          <w:p>
            <w:pPr>
              <w:rPr>
                <w:rFonts w:ascii="Arial" w:eastAsia="Calibri" w:hAnsi="Arial" w:cs="Arial"/>
              </w:rPr>
            </w:pPr>
            <w:r>
              <w:rPr>
                <w:rFonts w:ascii="Arial" w:eastAsia="Calibri" w:hAnsi="Arial" w:cs="Arial"/>
              </w:rPr>
              <w:t>Streumeldung - Pressemappe</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11"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12" w:history="1">
        <w:r>
          <w:rPr>
            <w:rStyle w:val="Hyperlink"/>
            <w:rFonts w:ascii="Arial" w:eastAsia="Calibri" w:hAnsi="Arial" w:cs="Arial"/>
            <w:b/>
            <w:color w:val="00A587" w:themeColor="accent1"/>
            <w:u w:val="none"/>
          </w:rPr>
          <w:t>https://www.pepperl-fuchs.com/</w:t>
        </w:r>
      </w:hyperlink>
    </w:p>
    <w:p>
      <w:pPr>
        <w:rPr>
          <w:rFonts w:ascii="Arial" w:eastAsia="Calibri" w:hAnsi="Arial" w:cs="Arial"/>
        </w:rPr>
      </w:pPr>
      <w:r>
        <w:rPr>
          <w:rFonts w:ascii="Arial" w:eastAsia="Calibri" w:hAnsi="Arial" w:cs="Arial"/>
        </w:rPr>
        <w:t>Zur honorarfreien Verwendung für Redaktionen.</w:t>
      </w:r>
    </w:p>
    <w:sectPr>
      <w:headerReference w:type="default" r:id="rId13"/>
      <w:footerReference w:type="default" r:id="rId14"/>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Pr>
        <w:rFonts w:eastAsia="Times New Roman" w:cs="Times New Roman"/>
        <w:sz w:val="16"/>
        <w:szCs w:val="24"/>
        <w:lang w:eastAsia="de-DE"/>
      </w:rPr>
      <w:t>PA_</w:t>
    </w:r>
    <w:bookmarkEnd w:id="0"/>
    <w:r>
      <w:rPr>
        <w:rFonts w:eastAsia="Times New Roman" w:cs="Times New Roman"/>
        <w:sz w:val="16"/>
        <w:szCs w:val="24"/>
        <w:lang w:eastAsia="de-DE"/>
      </w:rPr>
      <w:t>7625_GER_PA_solutions_Pressemappe HMI_25 _</w:t>
    </w:r>
    <w:r>
      <w:rPr>
        <w:rFonts w:eastAsia="Times New Roman" w:cs="Times New Roman"/>
        <w:szCs w:val="20"/>
        <w:lang w:eastAsia="de-DE"/>
      </w:rPr>
      <w:tab/>
    </w:r>
    <w:r>
      <w:rPr>
        <w:rFonts w:eastAsia="Times New Roman" w:cs="Times New Roman"/>
        <w:noProof/>
        <w:szCs w:val="20"/>
        <w:lang w:val="en-US"/>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WjFsb2EyVkdWVEJVZDBGWk0xQnlORWhEUW1sSWR6MDk&amp;download=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epperl-fuch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kern@de.pepperl-fuchs.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yconvento.com/public/get_file.php?id=enc2_Y2xCdE5rWkRaRGc1UWlzMk5IYzRlakpVVVd4dFVUMDk&amp;download=1"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629</Words>
  <Characters>3967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3</cp:revision>
  <cp:lastPrinted>2025-03-05T15:23:00Z</cp:lastPrinted>
  <dcterms:created xsi:type="dcterms:W3CDTF">2025-03-05T15:22:00Z</dcterms:created>
  <dcterms:modified xsi:type="dcterms:W3CDTF">2025-03-05T15:27:00Z</dcterms:modified>
</cp:coreProperties>
</file>