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single" w:sz="12" w:space="0" w:color="00A587" w:themeColor="accent1"/>
          <w:left w:val="single" w:sz="12" w:space="0" w:color="00A587" w:themeColor="accent1"/>
          <w:bottom w:val="single" w:sz="12" w:space="0" w:color="00A587" w:themeColor="accent1"/>
          <w:right w:val="single" w:sz="12" w:space="0" w:color="00A587" w:themeColor="accent1"/>
          <w:insideH w:val="single" w:sz="12" w:space="0" w:color="00A587" w:themeColor="accent1"/>
          <w:insideV w:val="single" w:sz="12" w:space="0" w:color="00A587" w:themeColor="accent1"/>
        </w:tblBorders>
        <w:shd w:val="clear" w:color="auto" w:fill="FFFFFF" w:themeFill="background1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062"/>
      </w:tblGrid>
      <w:tr>
        <w:tc>
          <w:tcPr>
            <w:tcW w:w="9062" w:type="dxa"/>
            <w:shd w:val="clear" w:color="auto" w:fill="FFFFFF" w:themeFill="background1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 einen Blick</w:t>
            </w:r>
          </w:p>
          <w:p>
            <w:pPr>
              <w:rPr>
                <w:rFonts w:ascii="Arial" w:hAnsi="Arial" w:cs="Arial"/>
                <w:b/>
                <w:bCs/>
              </w:rPr>
            </w:pPr>
          </w:p>
          <w:p>
            <w:pPr>
              <w:numPr>
                <w:ilvl w:val="0"/>
                <w:numId w:val="1"/>
              </w:numPr>
            </w:pPr>
            <w:proofErr w:type="spellStart"/>
            <w:r>
              <w:t>Predictive</w:t>
            </w:r>
            <w:proofErr w:type="spellEnd"/>
            <w:r>
              <w:t xml:space="preserve"> Maintenance in Ex-Bereichen</w:t>
            </w:r>
          </w:p>
          <w:p>
            <w:pPr>
              <w:numPr>
                <w:ilvl w:val="0"/>
                <w:numId w:val="1"/>
              </w:numPr>
            </w:pPr>
            <w:r>
              <w:t>Trennbarriere für Schwingungsüberwachung in eigensicheren Anwendungen</w:t>
            </w:r>
          </w:p>
          <w:p>
            <w:pPr>
              <w:numPr>
                <w:ilvl w:val="0"/>
                <w:numId w:val="1"/>
              </w:numPr>
            </w:pPr>
            <w:r>
              <w:t>Kompatibel mit allen marktüblichen Schwingungssensoren einschließlich AC-Sensoren ohne Versorgung</w:t>
            </w:r>
          </w:p>
        </w:tc>
      </w:tr>
    </w:tbl>
    <w:p/>
    <w:p>
      <w:pPr>
        <w:pStyle w:val="berschrift1"/>
        <w:rPr>
          <w:lang w:val="de-DE"/>
        </w:rPr>
      </w:pPr>
      <w:proofErr w:type="spellStart"/>
      <w:r>
        <w:rPr>
          <w:lang w:val="de-DE"/>
        </w:rPr>
        <w:t>Predictive</w:t>
      </w:r>
      <w:proofErr w:type="spellEnd"/>
      <w:r>
        <w:rPr>
          <w:lang w:val="de-DE"/>
        </w:rPr>
        <w:t xml:space="preserve"> Maintenance in explosionsgefährdeten Bereichen</w:t>
      </w:r>
    </w:p>
    <w:p>
      <w:pPr>
        <w:pStyle w:val="berschrift2"/>
        <w:rPr>
          <w:lang w:val="de-DE"/>
        </w:rPr>
      </w:pPr>
      <w:r>
        <w:rPr>
          <w:lang w:val="de-DE"/>
        </w:rPr>
        <w:t>Trennbarrieren zur Schwingungsüberwachung in eigensicheren Anwendungen</w:t>
      </w:r>
    </w:p>
    <w:p>
      <w:pPr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Mit dem KCD2-VR4-Ex1 von </w:t>
      </w:r>
      <w:proofErr w:type="spellStart"/>
      <w:r>
        <w:rPr>
          <w:rFonts w:ascii="Arial" w:eastAsia="Calibri" w:hAnsi="Arial" w:cs="Arial"/>
          <w:b/>
          <w:bCs/>
        </w:rPr>
        <w:t>Pepperl+Fuchs</w:t>
      </w:r>
      <w:proofErr w:type="spellEnd"/>
      <w:r>
        <w:rPr>
          <w:rFonts w:ascii="Arial" w:eastAsia="Calibri" w:hAnsi="Arial" w:cs="Arial"/>
          <w:b/>
          <w:bCs/>
        </w:rPr>
        <w:t xml:space="preserve"> steht jetzt ein Spannungs-Repeater zur Übertragung von hochfrequenten Signalen bis 20 kHz aus dem explosionsgefährdeten Bereich an Steuerungs-, Sicherheits- und/oder Überwachungssysteme zur Verfügung.</w:t>
      </w:r>
    </w:p>
    <w:p>
      <w:r>
        <w:t>Das einkanalige Modul ist derzeit das einzige Gerät auf dem Markt, bei dem die Spannungsversorgung der Sensoren über leicht zugängliche frontseitige Dip-Schalter eingestellt werden kann.</w:t>
      </w:r>
      <w:r>
        <w:br/>
      </w:r>
      <w:r>
        <w:br/>
        <w:t>Zusätzlich können auch Sensoren ohne Spannungsversorgung eingesetzt werden, so dass das KCD2-VR4-Ex1 nicht nur für 2- oder 3-Draht-Sensoren geeignet ist, sondern auch für AC-Sensoren, die keine Versorgung benötigen.</w:t>
      </w:r>
      <w:r>
        <w:br/>
      </w:r>
      <w:r>
        <w:br/>
        <w:t>So können die Signale aller gängigen Schwingungs-, Beschleunigungs- und Wegmesssensoren sowie magnetischer und seismischer Sensoren mit einer einzigen Trennbarriere übertragen werden.</w:t>
      </w:r>
      <w:r>
        <w:br/>
      </w:r>
      <w:r>
        <w:br/>
        <w:t xml:space="preserve">Die Flexibilität des Moduls macht Workarounds überflüssig, die bisher bei der Verwendung einiger Sensoren erforderlich waren, wie z. B. </w:t>
      </w:r>
      <w:proofErr w:type="spellStart"/>
      <w:r>
        <w:t>Zener</w:t>
      </w:r>
      <w:proofErr w:type="spellEnd"/>
      <w:r>
        <w:t>-Barrieren, wodurch auch die Notwendigkeit einer speziellen Erdung für die Eigensicherheit entfällt.</w:t>
      </w:r>
      <w:r>
        <w:br/>
      </w:r>
      <w:r>
        <w:br/>
      </w:r>
      <w:r>
        <w:lastRenderedPageBreak/>
        <w:t>Das KCD2-VR4-Ex1 kann für alle handelsüblichen Sensoren verwendet werden. Dies unterstützt die Standardisierung von Systemdesigns und vereinfacht die Planung, Dokumentation und Lagerhaltung.</w:t>
      </w:r>
      <w:r>
        <w:br/>
      </w:r>
      <w:r>
        <w:br/>
        <w:t>Die geringe Verlustleistung des nur 12,5 mm breiten KCD2-VR4-Ex1 ermöglicht den uneingeschränkten Einsatz bei Umgebungstemperaturen von -40 ... 70 °C (-40 ... 158 °F).</w:t>
      </w:r>
      <w:r>
        <w:br/>
      </w:r>
      <w:r>
        <w:br/>
        <w:t>Das Modul ist für Anwendungen bis SIL 2, mit einem SC3, nach IEC/EN 61508 Ed 2 ausgelegt und kann sogar redundant in SIL 3 Kreisen eingesetzt werden.</w:t>
      </w:r>
      <w:r>
        <w:br/>
      </w:r>
      <w:r>
        <w:br/>
        <w:t>DIP-Schalter auf der Vorderseite des Geräts ermöglichen einen einfachen Zugriff auf die Konfiguration im Vergleich zu seitlichen oder internen Schaltern, die nicht sichtbar sind, sobald das Produkt installiert ist.</w:t>
      </w:r>
    </w:p>
    <w:p>
      <w:pPr>
        <w:rPr>
          <w:rFonts w:ascii="Arial" w:eastAsia="Calibri" w:hAnsi="Arial" w:cs="Arial"/>
        </w:rPr>
      </w:pPr>
      <w:r>
        <w:br w:type="page"/>
      </w:r>
    </w:p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24"/>
        <w:gridCol w:w="6072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211.5pt">
                  <v:imagedata r:id="rId7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Bildunterschrift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>Der Spannungs-Repeater KCD2-VR4-Ex1 überträgt hochfrequente Signale von Schwingungssensoren aus dem Ex-Bereich.</w:t>
            </w:r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Download-URL</w:t>
            </w:r>
          </w:p>
          <w:p>
            <w:pPr>
              <w:rPr>
                <w:rFonts w:ascii="Arial" w:eastAsia="Calibri" w:hAnsi="Arial" w:cs="Arial"/>
              </w:rPr>
            </w:pPr>
            <w:hyperlink r:id="rId8" w:history="1">
              <w:r>
                <w:rPr>
                  <w:color w:val="0066CC"/>
                </w:rPr>
                <w:t>https://myconvento.com/public/get_file.php?id=enc2_Wlc4M1ZWZFJia2QyZWtkcE5VTkhXVzluWkd4UFVUMDk&amp;download=1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tbl>
      <w:tblPr>
        <w:tblStyle w:val="Tabellenraster1"/>
        <w:tblpPr w:leftFromText="180" w:rightFromText="180" w:vertAnchor="text" w:horzAnchor="margin" w:tblpY="36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lastRenderedPageBreak/>
              <w:t>Autor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t>Andreas Grimsehl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Schlagworte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proofErr w:type="spellStart"/>
            <w:r>
              <w:t>Predictive</w:t>
            </w:r>
            <w:proofErr w:type="spellEnd"/>
            <w:r>
              <w:t xml:space="preserve"> Maintenance, </w:t>
            </w:r>
            <w:proofErr w:type="spellStart"/>
            <w:r>
              <w:t>Condition</w:t>
            </w:r>
            <w:proofErr w:type="spellEnd"/>
            <w:r>
              <w:t xml:space="preserve"> Monitoring, Schwingungsüberwachung, Trennbarrieren, K-System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Zeichen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1.673 mit Leerzeichen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Zeichen Kurzfassung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243 mit Leerzeichen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Typ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Streumeldung - Pressemappe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Geschäftsbereich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Prozessautomation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</w:p>
        </w:tc>
      </w:tr>
    </w:tbl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 w:val="20"/>
          <w:szCs w:val="20"/>
          <w:lang w:eastAsia="de-DE"/>
        </w:rPr>
      </w:pPr>
      <w:r>
        <w:rPr>
          <w:rFonts w:ascii="Arial" w:eastAsia="Times New Roman" w:hAnsi="Arial" w:cs="Arial"/>
          <w:b/>
          <w:szCs w:val="20"/>
          <w:lang w:eastAsia="de-DE"/>
        </w:rPr>
        <w:t>Pressekontakt:</w:t>
      </w:r>
    </w:p>
    <w:tbl>
      <w:tblPr>
        <w:tblW w:w="9059" w:type="dxa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</w:tblBorders>
        <w:tblLook w:val="01E0" w:firstRow="1" w:lastRow="1" w:firstColumn="1" w:lastColumn="1" w:noHBand="0" w:noVBand="0"/>
      </w:tblPr>
      <w:tblGrid>
        <w:gridCol w:w="4816"/>
        <w:gridCol w:w="4243"/>
      </w:tblGrid>
      <w:tr>
        <w:trPr>
          <w:trHeight w:val="2349"/>
        </w:trPr>
        <w:tc>
          <w:tcPr>
            <w:tcW w:w="4816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spacing w:after="0" w:line="240" w:lineRule="auto"/>
              <w:ind w:right="23"/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  <w:t>Irmtraud Schmitt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zh-CN"/>
              </w:rPr>
            </w:pPr>
            <w:r>
              <w:rPr>
                <w:rFonts w:ascii="Arial" w:eastAsia="Calibri" w:hAnsi="Arial" w:cs="Arial"/>
                <w:szCs w:val="16"/>
                <w:lang w:eastAsia="zh-CN"/>
              </w:rPr>
              <w:t xml:space="preserve">Referentin Öffentlichkeitsarbeit 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zh-CN"/>
              </w:rPr>
            </w:pP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proofErr w:type="spellStart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Pepperl+Fuchs</w:t>
            </w:r>
            <w:proofErr w:type="spellEnd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 SE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Lilienthalstraße 200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68307 Mannheim, </w:t>
            </w:r>
            <w:r>
              <w:rPr>
                <w:rFonts w:ascii="Arial" w:eastAsia="Calibri" w:hAnsi="Arial" w:cs="Arial"/>
                <w:szCs w:val="16"/>
                <w:lang w:eastAsia="de-DE"/>
              </w:rPr>
              <w:t>Germany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szCs w:val="16"/>
                <w:lang w:eastAsia="de-DE"/>
              </w:rPr>
              <w:t>Tel</w:t>
            </w:r>
            <w:r>
              <w:rPr>
                <w:rFonts w:ascii="Arial" w:eastAsia="Times New Roman" w:hAnsi="Arial" w:cs="Arial"/>
                <w:szCs w:val="16"/>
                <w:lang w:eastAsia="nl-BE" w:bidi="nl-BE"/>
              </w:rPr>
              <w:t>: +49 (621) 776-1215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Times New Roman"/>
                <w:color w:val="00A587" w:themeColor="accent1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color w:val="00A587" w:themeColor="accent1"/>
                <w:szCs w:val="16"/>
                <w:lang w:eastAsia="de-DE"/>
              </w:rPr>
              <w:t>ischmitt@de.pepperl-fuchs.com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4243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spacing w:after="0" w:line="240" w:lineRule="auto"/>
              <w:ind w:right="23"/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eastAsia="de-DE"/>
              </w:rPr>
              <w:t>Annette Kern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szCs w:val="24"/>
                <w:lang w:eastAsia="de-DE"/>
              </w:rPr>
              <w:t>Presse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proofErr w:type="spellStart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Pepperl+Fuchs</w:t>
            </w:r>
            <w:proofErr w:type="spellEnd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 SE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Lilienthalstraße 200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68307 Mannheim, </w:t>
            </w:r>
            <w:r>
              <w:rPr>
                <w:rFonts w:ascii="Arial" w:eastAsia="Calibri" w:hAnsi="Arial" w:cs="Arial"/>
                <w:szCs w:val="16"/>
                <w:lang w:eastAsia="de-DE"/>
              </w:rPr>
              <w:t>Germany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szCs w:val="16"/>
                <w:lang w:eastAsia="de-DE"/>
              </w:rPr>
              <w:t>Tel</w:t>
            </w:r>
            <w:r>
              <w:rPr>
                <w:rFonts w:ascii="Arial" w:eastAsia="Times New Roman" w:hAnsi="Arial" w:cs="Arial"/>
                <w:szCs w:val="16"/>
                <w:lang w:eastAsia="nl-BE" w:bidi="nl-BE"/>
              </w:rPr>
              <w:t>: +49 (621) 776-1388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Times New Roman"/>
                <w:color w:val="00A587" w:themeColor="accent1"/>
                <w:szCs w:val="16"/>
                <w:lang w:eastAsia="de-DE"/>
              </w:rPr>
            </w:pPr>
            <w:hyperlink r:id="rId9" w:history="1">
              <w:r>
                <w:rPr>
                  <w:rStyle w:val="Hyperlink"/>
                  <w:rFonts w:ascii="Arial" w:eastAsia="Calibri" w:hAnsi="Arial" w:cs="Arial"/>
                  <w:szCs w:val="16"/>
                  <w:u w:val="none"/>
                  <w:lang w:eastAsia="de-DE"/>
                </w:rPr>
                <w:t>akern@de.pepperl-fuchs.com</w:t>
              </w:r>
            </w:hyperlink>
          </w:p>
        </w:tc>
      </w:tr>
    </w:tbl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Calibri" w:hAnsi="Arial" w:cs="Arial"/>
          <w:b/>
          <w:color w:val="00A587" w:themeColor="accent1"/>
        </w:rPr>
      </w:pPr>
      <w:hyperlink r:id="rId10" w:history="1">
        <w:r>
          <w:rPr>
            <w:rStyle w:val="Hyperlink"/>
            <w:rFonts w:ascii="Arial" w:eastAsia="Calibri" w:hAnsi="Arial" w:cs="Arial"/>
            <w:b/>
            <w:color w:val="00A587" w:themeColor="accent1"/>
            <w:u w:val="none"/>
          </w:rPr>
          <w:t>https://www.pepperl-fuchs.com/</w:t>
        </w:r>
      </w:hyperlink>
    </w:p>
    <w:p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Zur honorarfreien Verwendung für Redaktionen.</w:t>
      </w:r>
    </w:p>
    <w:sectPr>
      <w:headerReference w:type="default" r:id="rId11"/>
      <w:footerReference w:type="default" r:id="rId12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  <w:jc w:val="right"/>
    </w:pPr>
    <w:sdt>
      <w:sdtPr>
        <w:id w:val="2084571717"/>
        <w:docPartObj>
          <w:docPartGallery w:val="Page Numbers (Bottom of Page)"/>
          <w:docPartUnique/>
        </w:docPartObj>
      </w:sdtPr>
      <w:sdtContent>
        <w:r>
          <w:t xml:space="preserve">Seite </w:t>
        </w:r>
        <w:r>
          <w:rPr>
            <w:b/>
            <w:bCs/>
            <w:color w:val="00A587" w:themeColor="accent1"/>
          </w:rPr>
          <w:fldChar w:fldCharType="begin"/>
        </w:r>
        <w:r>
          <w:rPr>
            <w:b/>
            <w:bCs/>
            <w:color w:val="00A587" w:themeColor="accent1"/>
          </w:rPr>
          <w:instrText>PAGE   \* MERGEFORMAT</w:instrText>
        </w:r>
        <w:r>
          <w:rPr>
            <w:b/>
            <w:bCs/>
            <w:color w:val="00A587" w:themeColor="accent1"/>
          </w:rPr>
          <w:fldChar w:fldCharType="separate"/>
        </w:r>
        <w:r>
          <w:rPr>
            <w:b/>
            <w:bCs/>
            <w:color w:val="00A587" w:themeColor="accent1"/>
          </w:rPr>
          <w:t>2</w:t>
        </w:r>
        <w:r>
          <w:rPr>
            <w:b/>
            <w:bCs/>
            <w:color w:val="00A587" w:themeColor="accent1"/>
          </w:rPr>
          <w:fldChar w:fldCharType="end"/>
        </w:r>
      </w:sdtContent>
    </w:sdt>
  </w:p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dateiname"/>
  <w:p>
    <w:pPr>
      <w:tabs>
        <w:tab w:val="right" w:pos="9072"/>
      </w:tabs>
      <w:spacing w:after="0"/>
      <w:rPr>
        <w:rFonts w:eastAsia="Times New Roman" w:cs="Times New Roman"/>
        <w:szCs w:val="20"/>
        <w:lang w:eastAsia="de-DE"/>
      </w:rPr>
    </w:pPr>
    <w:r>
      <w:rPr>
        <w:rFonts w:eastAsia="Times New Roman" w:cs="Times New Roman"/>
        <w:noProof/>
        <w:szCs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-22099</wp:posOffset>
              </wp:positionH>
              <wp:positionV relativeFrom="paragraph">
                <wp:posOffset>192405</wp:posOffset>
              </wp:positionV>
              <wp:extent cx="5810250" cy="0"/>
              <wp:effectExtent l="5080" t="9525" r="13970" b="9525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78139DB8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75pt,15.15pt" to="455.7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" strokeweight=".5pt"/>
          </w:pict>
        </mc:Fallback>
      </mc:AlternateContent>
    </w:r>
    <w:r>
      <w:rPr>
        <w:rFonts w:eastAsia="Times New Roman" w:cs="Times New Roman"/>
        <w:sz w:val="16"/>
        <w:szCs w:val="24"/>
        <w:lang w:eastAsia="de-DE"/>
      </w:rPr>
      <w:t>PA_7626_GER_Interface_Kampagne_Pressemappe_HMI_25</w:t>
    </w:r>
    <w:bookmarkEnd w:id="0"/>
    <w:r>
      <w:rPr>
        <w:rFonts w:eastAsia="Times New Roman" w:cs="Times New Roman"/>
        <w:sz w:val="16"/>
        <w:szCs w:val="24"/>
        <w:lang w:eastAsia="de-DE"/>
      </w:rPr>
      <w:t>_</w:t>
    </w:r>
    <w:r>
      <w:rPr>
        <w:rFonts w:eastAsia="Times New Roman" w:cs="Times New Roman"/>
        <w:szCs w:val="20"/>
        <w:lang w:eastAsia="de-DE"/>
      </w:rPr>
      <w:tab/>
    </w:r>
    <w:r>
      <w:rPr>
        <w:rFonts w:eastAsia="Times New Roman" w:cs="Times New Roman"/>
        <w:noProof/>
        <w:szCs w:val="20"/>
        <w:lang w:val="en-US"/>
      </w:rPr>
      <w:drawing>
        <wp:inline distT="0" distB="0" distL="0" distR="0">
          <wp:extent cx="1514489" cy="168275"/>
          <wp:effectExtent l="0" t="0" r="9525" b="317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+F_Logo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1374" cy="176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85418"/>
    <w:multiLevelType w:val="hybridMultilevel"/>
    <w:tmpl w:val="E69EE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71116"/>
    <w:multiLevelType w:val="hybridMultilevel"/>
    <w:tmpl w:val="07466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86892"/>
    <w:multiLevelType w:val="hybridMultilevel"/>
    <w:tmpl w:val="E7B6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chartTrackingRefBased/>
  <w15:docId w15:val="{1F9CC98F-17B6-4D1B-B188-6E9CEA39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360" w:lineRule="auto"/>
    </w:pPr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outlineLvl w:val="0"/>
    </w:pPr>
    <w:rPr>
      <w:rFonts w:ascii="Arial" w:eastAsia="Calibri" w:hAnsi="Arial" w:cs="Arial"/>
      <w:b/>
      <w:bCs/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outlineLvl w:val="1"/>
    </w:pPr>
    <w:rPr>
      <w:rFonts w:ascii="Arial" w:eastAsia="Calibri" w:hAnsi="Arial" w:cs="Arial"/>
      <w:b/>
      <w:bCs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eastAsiaTheme="majorEastAsia" w:cstheme="majorBidi"/>
      <w:color w:val="005242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07B64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40" w:after="0"/>
      <w:outlineLvl w:val="4"/>
    </w:pPr>
    <w:rPr>
      <w:rFonts w:eastAsiaTheme="majorEastAsia" w:cstheme="majorBidi"/>
      <w:color w:val="007B64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color w:val="005242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05242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Calibri" w:hAnsi="Arial" w:cs="Arial"/>
      <w:b/>
      <w:bCs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Calibri" w:hAnsi="Arial" w:cs="Arial"/>
      <w:b/>
      <w:b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color w:val="005242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Theme="majorEastAsia" w:hAnsi="Arial" w:cstheme="majorBidi"/>
      <w:i/>
      <w:iCs/>
      <w:color w:val="007B64" w:themeColor="accent1" w:themeShade="BF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Theme="majorEastAsia" w:hAnsi="Arial" w:cstheme="majorBidi"/>
      <w:color w:val="007B64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Theme="majorEastAsia" w:hAnsi="Arial" w:cstheme="majorBidi"/>
      <w:color w:val="005242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Theme="majorEastAsia" w:hAnsi="Arial" w:cstheme="majorBidi"/>
      <w:i/>
      <w:iCs/>
      <w:color w:val="005242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0"/>
      <w:lang w:val="de-DE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0"/>
      <w:lang w:val="de-DE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Pr>
      <w:color w:val="00A587" w:themeColor="hyperlink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convento.com/public/get_file.php?id=enc2_Wlc4M1ZWZFJia2QyZWtkcE5VTkhXVzluWkd4UFVUMDk&amp;download=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pepperl-fuch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kern@de.pepperl-fuchs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Benutzerdefiniert 3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00A587"/>
      </a:accent1>
      <a:accent2>
        <a:srgbClr val="D0DF00"/>
      </a:accent2>
      <a:accent3>
        <a:srgbClr val="8DC8E8"/>
      </a:accent3>
      <a:accent4>
        <a:srgbClr val="EAAA00"/>
      </a:accent4>
      <a:accent5>
        <a:srgbClr val="FF6A39"/>
      </a:accent5>
      <a:accent6>
        <a:srgbClr val="7D2248"/>
      </a:accent6>
      <a:hlink>
        <a:srgbClr val="00A587"/>
      </a:hlink>
      <a:folHlink>
        <a:srgbClr val="8E99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Pepperl+Fuchs Group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Schaffner Kiriaki</dc:creator>
  <cp:keywords/>
  <dc:description/>
  <cp:lastModifiedBy>Schmitt Irmtraud</cp:lastModifiedBy>
  <cp:revision>3</cp:revision>
  <cp:lastPrinted>2025-03-05T15:08:00Z</cp:lastPrinted>
  <dcterms:created xsi:type="dcterms:W3CDTF">2025-03-05T15:07:00Z</dcterms:created>
  <dcterms:modified xsi:type="dcterms:W3CDTF">2025-03-05T15:13:00Z</dcterms:modified>
</cp:coreProperties>
</file>