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/>
    <w:p>
      <w:pPr>
        <w:pStyle w:val="berschrift1"/>
      </w:pPr>
      <w:r>
        <w:t>Flexible and Safe Housing Combinations for Electrical Explosion Protection</w:t>
      </w:r>
    </w:p>
    <w:p>
      <w:pPr>
        <w:pStyle w:val="berschrift2"/>
      </w:pPr>
    </w:p>
    <w:p>
      <w:pPr>
        <w:rPr>
          <w:rFonts w:ascii="Arial" w:eastAsia="Calibri" w:hAnsi="Arial" w:cs="Arial"/>
          <w:b/>
          <w:bCs/>
        </w:rPr>
      </w:pPr>
      <w:r>
        <w:rPr>
          <w:rFonts w:ascii="Arial" w:hAnsi="Arial"/>
          <w:b/>
        </w:rPr>
        <w:t xml:space="preserve">To meet individual requirements for process automation, customers often combine multiple housings to create a complete solution. Combining flameproof Ex d enclosures with those of the "increased safety" Ex e type has proven especially effective. Known as Ex de solutions, they allow the safe use of non-hazardous components in the </w:t>
      </w:r>
      <w:proofErr w:type="gramStart"/>
      <w:r>
        <w:rPr>
          <w:rFonts w:ascii="Arial" w:hAnsi="Arial"/>
          <w:b/>
        </w:rPr>
        <w:t>Ex d</w:t>
      </w:r>
      <w:proofErr w:type="gramEnd"/>
      <w:r>
        <w:rPr>
          <w:rFonts w:ascii="Arial" w:hAnsi="Arial"/>
          <w:b/>
        </w:rPr>
        <w:t xml:space="preserve"> enclosure, while the Ex e enclosure provides the connection area for cabling and control components. This separation offers many advantages - from simplified installation to more convenient maintenance during ongoing operation.</w:t>
      </w:r>
    </w:p>
    <w:p>
      <w:r>
        <w:rPr>
          <w:b/>
          <w:bCs/>
        </w:rPr>
        <w:t>Optimized Solutions with Ex de Enclosure Solutions</w:t>
      </w:r>
      <w:r>
        <w:rPr>
          <w:b/>
          <w:bCs/>
        </w:rPr>
        <w:br/>
      </w:r>
      <w:r>
        <w:br/>
        <w:t>Strict requirements from IEC 60079-14 must be followed when connecting a flameproof system to the plant and during maintenance work. The combination of Ex d and Ex e significantly reduces the effort required. Pepperl+Fuchs offers customized Ex de solutions that combine Ex d and Ex e enclosures. There are no restrictions regarding the arrangement. The enclosures are securely connected by specially designed wire bushings, while a flange ensures degree of protection (IP) by preventing dirt and moisture from entering.</w:t>
      </w:r>
      <w:r>
        <w:br/>
      </w:r>
      <w:r>
        <w:br/>
        <w:t> </w:t>
      </w:r>
      <w:r>
        <w:br/>
        <w:t xml:space="preserve">The </w:t>
      </w:r>
      <w:proofErr w:type="gramStart"/>
      <w:r>
        <w:t>Ex e</w:t>
      </w:r>
      <w:proofErr w:type="gramEnd"/>
      <w:r>
        <w:t xml:space="preserve"> connection and control stations are based on rugged housings that are manufactured in-house. A wide selection of operating elements allows easy adaptation to customer-specific requirements. The combination enables simple expansion and modification of the control elements in the </w:t>
      </w:r>
      <w:proofErr w:type="gramStart"/>
      <w:r>
        <w:t>Ex e</w:t>
      </w:r>
      <w:proofErr w:type="gramEnd"/>
      <w:r>
        <w:t xml:space="preserve"> enclosure, while the industrial control components remain optimally protected in the sealed and certified Ex d enclosure. The result is quick commissioning with minimum downtime and reduced maintenance costs throughout the lifetime of the system.</w:t>
      </w:r>
      <w:r>
        <w:br/>
      </w:r>
    </w:p>
    <w:p/>
    <w:p/>
    <w:p>
      <w:r>
        <w:br/>
      </w:r>
      <w:r>
        <w:rPr>
          <w:b/>
          <w:bCs/>
        </w:rPr>
        <w:t>Additional Flexible Flange Solutions for Maximum Adaptability</w:t>
      </w:r>
      <w:r>
        <w:rPr>
          <w:b/>
          <w:bCs/>
        </w:rPr>
        <w:br/>
      </w:r>
      <w:r>
        <w:br/>
        <w:t xml:space="preserve">It's not only Ex de combinations that offer decisive advantages—connecting Ex e enclosures to </w:t>
      </w:r>
      <w:r>
        <w:lastRenderedPageBreak/>
        <w:t xml:space="preserve">each other also creates flexible solutions for complex applications. Often, an application requires more space than a single enclosure provides. By flanging multiple Ex e enclosures together, larger controls and separations between different functional areas can be implemented. Pepperl+Fuchs offers both plastic and </w:t>
      </w:r>
      <w:proofErr w:type="gramStart"/>
      <w:r>
        <w:t>stainless steel</w:t>
      </w:r>
      <w:proofErr w:type="gramEnd"/>
      <w:r>
        <w:t xml:space="preserve"> enclosures that offer modular expansion using flexible flange solutions. This modular design ensures maximum flexibility in plant design and allows customization for different industrial requirements. </w:t>
      </w:r>
      <w:r>
        <w:br/>
      </w:r>
      <w:r>
        <w:br/>
        <w:t>With the innovative enclosure combinations from Pepperl+Fuchs, users benefit from an optimal combination of safety, ease of maintenance, and adaptability—a future-oriented solution for the challenges of modern process automation.</w:t>
      </w:r>
    </w:p>
    <w:p>
      <w:pPr>
        <w:rPr>
          <w:rFonts w:ascii="Arial" w:eastAsia="Calibri" w:hAnsi="Arial" w:cs="Arial"/>
        </w:rPr>
      </w:pPr>
      <w:r>
        <w:br w:type="page"/>
      </w:r>
    </w:p>
    <w:p>
      <w:pPr>
        <w:rPr>
          <w:rFonts w:ascii="Arial" w:eastAsia="Calibri" w:hAnsi="Arial" w:cs="Arial"/>
        </w:rPr>
      </w:pPr>
    </w:p>
    <w:tbl>
      <w:tblPr>
        <w:tblStyle w:val="Tabellenraster1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26"/>
        <w:gridCol w:w="6070"/>
      </w:tblGrid>
      <w:tr>
        <w:tc>
          <w:tcPr>
            <w:tcW w:w="9062" w:type="dxa"/>
            <w:gridSpan w:val="2"/>
          </w:tcPr>
          <w:p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120.75pt">
                  <v:imagedata r:id="rId7" o:title=""/>
                </v:shape>
              </w:pict>
            </w:r>
          </w:p>
        </w:tc>
      </w:tr>
      <w:tr>
        <w:tc>
          <w:tcPr>
            <w:tcW w:w="2689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Caption</w:t>
            </w:r>
          </w:p>
        </w:tc>
        <w:tc>
          <w:tcPr>
            <w:tcW w:w="6373" w:type="dxa"/>
          </w:tcPr>
          <w:p>
            <w:pPr>
              <w:rPr>
                <w:rFonts w:ascii="Arial" w:eastAsia="Calibri" w:hAnsi="Arial" w:cs="Arial"/>
              </w:rPr>
            </w:pPr>
            <w:r>
              <w:t>An Ex de DC power distributor mounted on a specially made frame. This solution was used on an offshore platform</w:t>
            </w:r>
          </w:p>
        </w:tc>
      </w:tr>
      <w:tr>
        <w:tc>
          <w:tcPr>
            <w:tcW w:w="9062" w:type="dxa"/>
            <w:gridSpan w:val="2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Download URL</w:t>
            </w:r>
          </w:p>
          <w:p>
            <w:pPr>
              <w:rPr>
                <w:rFonts w:ascii="Arial" w:eastAsia="Calibri" w:hAnsi="Arial" w:cs="Arial"/>
              </w:rPr>
            </w:pPr>
            <w:hyperlink r:id="rId8" w:history="1">
              <w:r>
                <w:rPr>
                  <w:color w:val="0066CC"/>
                </w:rPr>
                <w:t>https://myconvento.com/public/get_file.php?id=enc2_WjFsb2EyVkdWVEJVZDBGWk0xQnlORWhEUW1sSWR6MDk&amp;download=1</w:t>
              </w:r>
            </w:hyperlink>
          </w:p>
        </w:tc>
      </w:tr>
    </w:tbl>
    <w:p>
      <w:pPr>
        <w:rPr>
          <w:rFonts w:ascii="Arial" w:eastAsia="Calibri" w:hAnsi="Arial" w:cs="Arial"/>
        </w:rPr>
      </w:pPr>
    </w:p>
    <w:p>
      <w:pPr>
        <w:rPr>
          <w:rFonts w:ascii="Arial" w:eastAsia="Calibri" w:hAnsi="Arial" w:cs="Arial"/>
        </w:rPr>
      </w:pPr>
    </w:p>
    <w:p>
      <w:pPr>
        <w:rPr>
          <w:rFonts w:ascii="Arial" w:eastAsia="Calibri" w:hAnsi="Arial" w:cs="Arial"/>
        </w:rPr>
      </w:pPr>
    </w:p>
    <w:tbl>
      <w:tblPr>
        <w:tblStyle w:val="Tabellenraster1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128"/>
        <w:gridCol w:w="6268"/>
      </w:tblGrid>
      <w:tr>
        <w:tc>
          <w:tcPr>
            <w:tcW w:w="9062" w:type="dxa"/>
            <w:gridSpan w:val="2"/>
          </w:tcPr>
          <w:p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/>
              </w:rPr>
              <w:pict>
                <v:shape id="_x0000_i1026" type="#_x0000_t75" style="width:162.75pt;height:300pt">
                  <v:imagedata r:id="rId9" o:title=""/>
                </v:shape>
              </w:pict>
            </w:r>
          </w:p>
        </w:tc>
      </w:tr>
      <w:tr>
        <w:tc>
          <w:tcPr>
            <w:tcW w:w="2689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lastRenderedPageBreak/>
              <w:t>Caption</w:t>
            </w:r>
          </w:p>
        </w:tc>
        <w:tc>
          <w:tcPr>
            <w:tcW w:w="6373" w:type="dxa"/>
          </w:tcPr>
          <w:p>
            <w:pPr>
              <w:rPr>
                <w:rFonts w:ascii="Arial" w:eastAsia="Calibri" w:hAnsi="Arial" w:cs="Arial"/>
              </w:rPr>
            </w:pPr>
            <w:r>
              <w:t xml:space="preserve">Combination of an </w:t>
            </w:r>
            <w:proofErr w:type="gramStart"/>
            <w:r>
              <w:t>Ex d</w:t>
            </w:r>
            <w:proofErr w:type="gramEnd"/>
            <w:r>
              <w:t xml:space="preserve"> GUB enclosure with a viewing panel and an Ex e plastic enclosure from the GR series as a controller.</w:t>
            </w:r>
          </w:p>
        </w:tc>
      </w:tr>
      <w:tr>
        <w:tc>
          <w:tcPr>
            <w:tcW w:w="9062" w:type="dxa"/>
            <w:gridSpan w:val="2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Download URL</w:t>
            </w:r>
          </w:p>
          <w:p>
            <w:pPr>
              <w:rPr>
                <w:rFonts w:ascii="Arial" w:eastAsia="Calibri" w:hAnsi="Arial" w:cs="Arial"/>
              </w:rPr>
            </w:pPr>
            <w:hyperlink r:id="rId10" w:history="1">
              <w:r>
                <w:rPr>
                  <w:color w:val="0066CC"/>
                </w:rPr>
                <w:t>https://myconvento.com/public/get_file.php?id=enc2_Y2xCdE5rWkRaRGc1UWlzMk5IYzRlakpVVVd4dFVUMDk&amp;download=1</w:t>
              </w:r>
            </w:hyperlink>
          </w:p>
        </w:tc>
      </w:tr>
    </w:tbl>
    <w:p>
      <w:pPr>
        <w:rPr>
          <w:rFonts w:ascii="Arial" w:eastAsia="Calibri" w:hAnsi="Arial" w:cs="Arial"/>
        </w:rPr>
      </w:pPr>
      <w:r>
        <w:br w:type="page"/>
      </w:r>
    </w:p>
    <w:tbl>
      <w:tblPr>
        <w:tblStyle w:val="Tabellenraster1"/>
        <w:tblpPr w:leftFromText="180" w:rightFromText="180" w:vertAnchor="text" w:horzAnchor="margin" w:tblpY="36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lastRenderedPageBreak/>
              <w:t>Author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t>Alexander Aust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Keywords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t>Electrical components and systems for explosion protection; electrical explosion protection; Ex e; Ex d; enclosure series; Ex de; flange; customized solutions;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Characters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hAnsi="Arial"/>
              </w:rPr>
              <w:t>2.675 including spaces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Type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hAnsi="Arial"/>
              </w:rPr>
              <w:t>Distribution report - press kit</w:t>
            </w:r>
          </w:p>
        </w:tc>
      </w:tr>
    </w:tbl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hAnsi="Arial"/>
          <w:b/>
        </w:rPr>
        <w:t>Press contact:</w:t>
      </w:r>
    </w:p>
    <w:tbl>
      <w:tblPr>
        <w:tblW w:w="9059" w:type="dxa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</w:tblBorders>
        <w:tblLook w:val="01E0" w:firstRow="1" w:lastRow="1" w:firstColumn="1" w:lastColumn="1" w:noHBand="0" w:noVBand="0"/>
      </w:tblPr>
      <w:tblGrid>
        <w:gridCol w:w="4816"/>
        <w:gridCol w:w="4243"/>
      </w:tblGrid>
      <w:tr>
        <w:trPr>
          <w:trHeight w:val="2349"/>
        </w:trPr>
        <w:tc>
          <w:tcPr>
            <w:tcW w:w="4816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spacing w:after="0" w:line="240" w:lineRule="auto"/>
              <w:ind w:right="23"/>
              <w:rPr>
                <w:rFonts w:ascii="Arial" w:eastAsia="Calibri" w:hAnsi="Arial" w:cs="Arial"/>
                <w:b/>
                <w:bCs/>
                <w:szCs w:val="16"/>
              </w:rPr>
            </w:pPr>
            <w:r>
              <w:rPr>
                <w:rFonts w:ascii="Arial" w:hAnsi="Arial"/>
                <w:b/>
              </w:rPr>
              <w:t>Irmtraud Schmitt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</w:rPr>
            </w:pPr>
            <w:r>
              <w:rPr>
                <w:rFonts w:ascii="Arial" w:hAnsi="Arial"/>
              </w:rPr>
              <w:t xml:space="preserve">Public relations officer 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zh-CN"/>
              </w:rPr>
            </w:pP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</w:rPr>
            </w:pPr>
            <w:r>
              <w:rPr>
                <w:rFonts w:ascii="Arial" w:hAnsi="Arial"/>
                <w:color w:val="595959"/>
              </w:rPr>
              <w:t>Pepperl+Fuchs SE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val="de-DE"/>
              </w:rPr>
            </w:pPr>
            <w:r>
              <w:rPr>
                <w:rFonts w:ascii="Arial" w:hAnsi="Arial"/>
                <w:color w:val="595959"/>
                <w:lang w:val="de-DE"/>
              </w:rPr>
              <w:t>Lilienthalstraße 200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val="de-DE"/>
              </w:rPr>
            </w:pPr>
            <w:r>
              <w:rPr>
                <w:rFonts w:ascii="Arial" w:hAnsi="Arial"/>
                <w:color w:val="595959"/>
                <w:lang w:val="de-DE"/>
              </w:rPr>
              <w:t xml:space="preserve">68307 Mannheim, </w:t>
            </w:r>
            <w:r>
              <w:rPr>
                <w:rFonts w:ascii="Arial" w:hAnsi="Arial"/>
                <w:lang w:val="de-DE"/>
              </w:rPr>
              <w:t>Germany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val="de-DE" w:eastAsia="de-DE"/>
              </w:rPr>
            </w:pP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val="de-DE"/>
              </w:rPr>
            </w:pPr>
            <w:r>
              <w:rPr>
                <w:rFonts w:ascii="Arial" w:hAnsi="Arial"/>
                <w:lang w:val="de-DE"/>
              </w:rPr>
              <w:t>Tel: +49 (621) 776-1215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Times New Roman"/>
                <w:color w:val="00A587" w:themeColor="accent1"/>
                <w:szCs w:val="16"/>
                <w:lang w:val="de-DE"/>
              </w:rPr>
            </w:pPr>
            <w:r>
              <w:rPr>
                <w:rFonts w:ascii="Arial" w:hAnsi="Arial"/>
                <w:color w:val="00A587" w:themeColor="accent1"/>
                <w:lang w:val="de-DE"/>
              </w:rPr>
              <w:t>ischmitt@de.pepperl-fuchs.com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 w:val="16"/>
                <w:szCs w:val="16"/>
                <w:lang w:val="de-DE" w:eastAsia="de-DE"/>
              </w:rPr>
            </w:pPr>
          </w:p>
        </w:tc>
        <w:tc>
          <w:tcPr>
            <w:tcW w:w="4243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spacing w:after="0" w:line="240" w:lineRule="auto"/>
              <w:ind w:right="23"/>
              <w:rPr>
                <w:rFonts w:ascii="Arial" w:eastAsia="Calibri" w:hAnsi="Arial" w:cs="Arial"/>
                <w:b/>
                <w:bCs/>
                <w:szCs w:val="16"/>
                <w:lang w:val="de-DE"/>
              </w:rPr>
            </w:pPr>
            <w:r>
              <w:rPr>
                <w:rFonts w:ascii="Arial" w:hAnsi="Arial"/>
                <w:b/>
                <w:lang w:val="de-DE"/>
              </w:rPr>
              <w:t>Annette Kern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val="de-DE"/>
              </w:rPr>
            </w:pPr>
            <w:r>
              <w:rPr>
                <w:rFonts w:ascii="Arial" w:hAnsi="Arial"/>
                <w:lang w:val="de-DE"/>
              </w:rPr>
              <w:t>Press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val="de-DE" w:eastAsia="de-DE"/>
              </w:rPr>
            </w:pP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val="de-DE"/>
              </w:rPr>
            </w:pPr>
            <w:r>
              <w:rPr>
                <w:rFonts w:ascii="Arial" w:hAnsi="Arial"/>
                <w:color w:val="595959"/>
                <w:lang w:val="de-DE"/>
              </w:rPr>
              <w:t>Pepperl+Fuchs SE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val="de-DE"/>
              </w:rPr>
            </w:pPr>
            <w:r>
              <w:rPr>
                <w:rFonts w:ascii="Arial" w:hAnsi="Arial"/>
                <w:color w:val="595959"/>
                <w:lang w:val="de-DE"/>
              </w:rPr>
              <w:t>Lilienthalstraße 200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val="de-DE"/>
              </w:rPr>
            </w:pPr>
            <w:r>
              <w:rPr>
                <w:rFonts w:ascii="Arial" w:hAnsi="Arial"/>
                <w:color w:val="595959"/>
                <w:lang w:val="de-DE"/>
              </w:rPr>
              <w:t xml:space="preserve">68307 Mannheim, </w:t>
            </w:r>
            <w:r>
              <w:rPr>
                <w:rFonts w:ascii="Arial" w:hAnsi="Arial"/>
                <w:lang w:val="de-DE"/>
              </w:rPr>
              <w:t>Germany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val="de-DE" w:eastAsia="de-DE"/>
              </w:rPr>
            </w:pP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val="de-DE"/>
              </w:rPr>
            </w:pPr>
            <w:r>
              <w:rPr>
                <w:rFonts w:ascii="Arial" w:hAnsi="Arial"/>
                <w:lang w:val="de-DE"/>
              </w:rPr>
              <w:t>Tel: +49 (621) 776-1388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Times New Roman"/>
                <w:color w:val="00A587" w:themeColor="accent1"/>
                <w:szCs w:val="16"/>
                <w:lang w:val="de-DE"/>
              </w:rPr>
            </w:pPr>
            <w:hyperlink r:id="rId11" w:history="1">
              <w:r>
                <w:rPr>
                  <w:rStyle w:val="Hyperlink"/>
                  <w:rFonts w:ascii="Arial" w:hAnsi="Arial"/>
                  <w:u w:val="none"/>
                  <w:lang w:val="de-DE"/>
                </w:rPr>
                <w:t>akern@de.pepperl-fuchs.com</w:t>
              </w:r>
            </w:hyperlink>
          </w:p>
        </w:tc>
      </w:tr>
    </w:tbl>
    <w:p>
      <w:pPr>
        <w:rPr>
          <w:rFonts w:ascii="Arial" w:eastAsia="Times New Roman" w:hAnsi="Arial" w:cs="Arial"/>
          <w:b/>
          <w:szCs w:val="20"/>
          <w:lang w:val="de-DE" w:eastAsia="de-DE"/>
        </w:rPr>
      </w:pPr>
    </w:p>
    <w:p>
      <w:pPr>
        <w:rPr>
          <w:rFonts w:ascii="Arial" w:eastAsia="Calibri" w:hAnsi="Arial" w:cs="Arial"/>
          <w:b/>
          <w:color w:val="00A587" w:themeColor="accent1"/>
          <w:lang w:val="de-DE"/>
        </w:rPr>
      </w:pPr>
      <w:hyperlink r:id="rId12" w:history="1">
        <w:r>
          <w:rPr>
            <w:rStyle w:val="Hyperlink"/>
            <w:rFonts w:ascii="Arial" w:hAnsi="Arial"/>
            <w:b/>
            <w:color w:val="00A587" w:themeColor="accent1"/>
            <w:u w:val="none"/>
            <w:lang w:val="de-DE"/>
          </w:rPr>
          <w:t>https://www.pepperl-fuchs.com/</w:t>
        </w:r>
      </w:hyperlink>
    </w:p>
    <w:p>
      <w:pPr>
        <w:rPr>
          <w:rFonts w:ascii="Arial" w:eastAsia="Calibri" w:hAnsi="Arial" w:cs="Arial"/>
        </w:rPr>
      </w:pPr>
      <w:r>
        <w:rPr>
          <w:rFonts w:ascii="Arial" w:hAnsi="Arial"/>
        </w:rPr>
        <w:t>For use free-of-charge in publications.</w:t>
      </w:r>
    </w:p>
    <w:sectPr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  <w:jc w:val="right"/>
    </w:pPr>
    <w:sdt>
      <w:sdtPr>
        <w:id w:val="2084571717"/>
        <w:docPartObj>
          <w:docPartGallery w:val="Page Numbers (Bottom of Page)"/>
          <w:docPartUnique/>
        </w:docPartObj>
      </w:sdtPr>
      <w:sdtContent>
        <w:r>
          <w:t xml:space="preserve">Page </w:t>
        </w:r>
        <w:r>
          <w:rPr>
            <w:b/>
            <w:color w:val="00A587" w:themeColor="accent1"/>
          </w:rPr>
          <w:fldChar w:fldCharType="begin"/>
        </w:r>
        <w:r>
          <w:rPr>
            <w:b/>
            <w:color w:val="00A587" w:themeColor="accent1"/>
          </w:rPr>
          <w:instrText>PAGE   \* MERGEFORMAT</w:instrText>
        </w:r>
        <w:r>
          <w:rPr>
            <w:b/>
            <w:color w:val="00A587" w:themeColor="accent1"/>
          </w:rPr>
          <w:fldChar w:fldCharType="separate"/>
        </w:r>
        <w:r>
          <w:rPr>
            <w:b/>
            <w:color w:val="00A587" w:themeColor="accent1"/>
          </w:rPr>
          <w:t>2</w:t>
        </w:r>
        <w:r>
          <w:rPr>
            <w:b/>
            <w:color w:val="00A587" w:themeColor="accent1"/>
          </w:rPr>
          <w:fldChar w:fldCharType="end"/>
        </w:r>
      </w:sdtContent>
    </w:sdt>
  </w:p>
  <w:p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dateiname"/>
  <w:p>
    <w:pPr>
      <w:tabs>
        <w:tab w:val="right" w:pos="9072"/>
      </w:tabs>
      <w:spacing w:after="0"/>
      <w:rPr>
        <w:rFonts w:eastAsia="Times New Roman" w:cs="Times New Roman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-22099</wp:posOffset>
              </wp:positionH>
              <wp:positionV relativeFrom="paragraph">
                <wp:posOffset>192405</wp:posOffset>
              </wp:positionV>
              <wp:extent cx="5810250" cy="0"/>
              <wp:effectExtent l="5080" t="9525" r="13970" b="9525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78139DB8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75pt,15.15pt" to="455.7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" strokeweight=".5pt"/>
          </w:pict>
        </mc:Fallback>
      </mc:AlternateContent>
    </w:r>
    <w:r>
      <w:rPr>
        <w:sz w:val="16"/>
      </w:rPr>
      <w:t>PA_</w:t>
    </w:r>
    <w:bookmarkEnd w:id="0"/>
    <w:r>
      <w:rPr>
        <w:sz w:val="16"/>
      </w:rPr>
      <w:t>7625-ENG_ PA_Solutions_Press_Kit_HMI_25_</w:t>
    </w:r>
    <w:r>
      <w:tab/>
    </w:r>
    <w:r>
      <w:rPr>
        <w:noProof/>
      </w:rPr>
      <w:drawing>
        <wp:inline distT="0" distB="0" distL="0" distR="0">
          <wp:extent cx="1514489" cy="168275"/>
          <wp:effectExtent l="0" t="0" r="9525" b="317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+F_Logo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1374" cy="176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85418"/>
    <w:multiLevelType w:val="hybridMultilevel"/>
    <w:tmpl w:val="E69EE3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71116"/>
    <w:multiLevelType w:val="hybridMultilevel"/>
    <w:tmpl w:val="07466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86892"/>
    <w:multiLevelType w:val="hybridMultilevel"/>
    <w:tmpl w:val="E7B6E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5:chartTrackingRefBased/>
  <w15:docId w15:val="{1F9CC98F-17B6-4D1B-B188-6E9CEA39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36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pPr>
      <w:outlineLvl w:val="0"/>
    </w:pPr>
    <w:rPr>
      <w:rFonts w:ascii="Arial" w:eastAsia="Calibri" w:hAnsi="Arial" w:cs="Arial"/>
      <w:b/>
      <w:bCs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outlineLvl w:val="1"/>
    </w:pPr>
    <w:rPr>
      <w:rFonts w:ascii="Arial" w:eastAsia="Calibri" w:hAnsi="Arial" w:cs="Arial"/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eastAsiaTheme="majorEastAsia" w:cstheme="majorBidi"/>
      <w:color w:val="005242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07B64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40" w:after="0"/>
      <w:outlineLvl w:val="4"/>
    </w:pPr>
    <w:rPr>
      <w:rFonts w:eastAsiaTheme="majorEastAsia" w:cstheme="majorBidi"/>
      <w:color w:val="007B64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color w:val="005242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05242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Calibri" w:hAnsi="Arial" w:cs="Arial"/>
      <w:b/>
      <w:bCs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Calibri" w:hAnsi="Arial" w:cs="Arial"/>
      <w:b/>
      <w:b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color w:val="005242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Theme="majorEastAsia" w:hAnsi="Arial" w:cstheme="majorBidi"/>
      <w:i/>
      <w:iCs/>
      <w:color w:val="007B64" w:themeColor="accent1" w:themeShade="BF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Theme="majorEastAsia" w:hAnsi="Arial" w:cstheme="majorBidi"/>
      <w:color w:val="007B64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Theme="majorEastAsia" w:hAnsi="Arial" w:cstheme="majorBidi"/>
      <w:color w:val="005242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Theme="majorEastAsia" w:hAnsi="Arial" w:cstheme="majorBidi"/>
      <w:i/>
      <w:iCs/>
      <w:color w:val="005242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0"/>
      <w:lang w:val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0"/>
      <w:lang w:val="en-US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Pr>
      <w:color w:val="00A587" w:themeColor="hyperlink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convento.com/public/get_file.php?id=enc2_WjFsb2EyVkdWVEJVZDBGWk0xQnlORWhEUW1sSWR6MDk&amp;download=1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pepperl-fuchs.com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kern@de.pepperl-fuchs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myconvento.com/public/get_file.php?id=enc2_Y2xCdE5rWkRaRGc1UWlzMk5IYzRlakpVVVd4dFVUMDk&amp;download=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Benutzerdefiniert 3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00A587"/>
      </a:accent1>
      <a:accent2>
        <a:srgbClr val="D0DF00"/>
      </a:accent2>
      <a:accent3>
        <a:srgbClr val="8DC8E8"/>
      </a:accent3>
      <a:accent4>
        <a:srgbClr val="EAAA00"/>
      </a:accent4>
      <a:accent5>
        <a:srgbClr val="FF6A39"/>
      </a:accent5>
      <a:accent6>
        <a:srgbClr val="7D2248"/>
      </a:accent6>
      <a:hlink>
        <a:srgbClr val="00A587"/>
      </a:hlink>
      <a:folHlink>
        <a:srgbClr val="8E99A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Pepperl+Fuchs Group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Schaffner Kiriaki</dc:creator>
  <cp:keywords/>
  <dc:description/>
  <cp:lastModifiedBy>Schmitt Irmtraud</cp:lastModifiedBy>
  <cp:revision>2</cp:revision>
  <cp:lastPrinted>2025-03-05T15:23:00Z</cp:lastPrinted>
  <dcterms:created xsi:type="dcterms:W3CDTF">2025-03-05T15:59:00Z</dcterms:created>
  <dcterms:modified xsi:type="dcterms:W3CDTF">2025-03-05T15:59:00Z</dcterms:modified>
</cp:coreProperties>
</file>