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single" w:sz="12" w:space="0" w:color="00A587" w:themeColor="accent1"/>
          <w:left w:val="single" w:sz="12" w:space="0" w:color="00A587" w:themeColor="accent1"/>
          <w:bottom w:val="single" w:sz="12" w:space="0" w:color="00A587" w:themeColor="accent1"/>
          <w:right w:val="single" w:sz="12" w:space="0" w:color="00A587" w:themeColor="accent1"/>
          <w:insideH w:val="single" w:sz="12" w:space="0" w:color="00A587" w:themeColor="accent1"/>
          <w:insideV w:val="single" w:sz="12" w:space="0" w:color="00A587" w:themeColor="accent1"/>
        </w:tblBorders>
        <w:shd w:val="clear" w:color="auto" w:fill="FFFFFF" w:themeFill="background1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062" w:type="dxa"/>
            <w:shd w:val="clear" w:color="auto" w:fill="FFFFFF" w:themeFill="background1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 einen Blick</w:t>
            </w:r>
          </w:p>
          <w:p>
            <w:pPr>
              <w:jc w:val="both"/>
              <w:rPr>
                <w:rFonts w:ascii="Arial" w:hAnsi="Arial" w:cs="Arial"/>
                <w:b/>
                <w:bCs/>
              </w:rPr>
            </w:pPr>
          </w:p>
          <w:p>
            <w:pPr>
              <w:pStyle w:val="Listenabsatz"/>
              <w:numPr>
                <w:ilvl w:val="0"/>
                <w:numId w:val="4"/>
              </w:numPr>
              <w:jc w:val="both"/>
            </w:pPr>
            <w:r>
              <w:t>ATEX-/</w:t>
            </w:r>
            <w:proofErr w:type="spellStart"/>
            <w:r>
              <w:t>IECEx</w:t>
            </w:r>
            <w:proofErr w:type="spellEnd"/>
            <w:r>
              <w:t>-zertifizierte 5G-Geräte für schnelle Kommunikation, zuverlässige Datenübertragung und flexible Prozesse in explosionsgefährdeten Zonen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 xml:space="preserve">Tab-Ex® 05 als ideale 8-Zoll Mobility-Lösung für die Umsetzung von Digitalisierungsprojekten im Industrieumfeld mit Android Enterprise Recommended und Google </w:t>
            </w:r>
            <w:proofErr w:type="spellStart"/>
            <w:r>
              <w:t>ARCore</w:t>
            </w:r>
            <w:proofErr w:type="spellEnd"/>
            <w:r>
              <w:t xml:space="preserve"> Standards sowie Common-</w:t>
            </w:r>
            <w:proofErr w:type="spellStart"/>
            <w:r>
              <w:t>Criteria</w:t>
            </w:r>
            <w:proofErr w:type="spellEnd"/>
            <w:r>
              <w:t>-Zertifizierung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Smart-Ex® 203 ergänzt das Smart-Ex® 03 um ein spezielles Zone 2/22 und Division 2 5G-Smartphone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Der Mobilfunkstandard 5G prädestiniert das Tab-Ex® 05 sowie das Smart-Ex® 03 und das Smart-Ex® 203 für die Umsetzung von Digitalisierungsprojekten</w:t>
            </w:r>
          </w:p>
        </w:tc>
      </w:tr>
    </w:tbl>
    <w:p/>
    <w:p>
      <w:pPr>
        <w:pStyle w:val="berschrift1"/>
        <w:rPr>
          <w:lang w:val="de-DE"/>
        </w:rPr>
      </w:pPr>
      <w:proofErr w:type="spellStart"/>
      <w:r>
        <w:rPr>
          <w:lang w:val="de-DE"/>
        </w:rPr>
        <w:t>Pepperl+Fuchs</w:t>
      </w:r>
      <w:proofErr w:type="spellEnd"/>
      <w:r>
        <w:rPr>
          <w:lang w:val="de-DE"/>
        </w:rPr>
        <w:t xml:space="preserve"> mit neuem, explosionsgeschütztem 5G-Tablet und -Smartphone auf der Hannover Messe</w:t>
      </w:r>
    </w:p>
    <w:p>
      <w:pPr>
        <w:pStyle w:val="berschrift2"/>
        <w:rPr>
          <w:lang w:val="de-DE"/>
        </w:rPr>
      </w:pPr>
    </w:p>
    <w:p>
      <w:pPr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Die drahtlose Vernetzung über 5G ermöglicht Industrieunternehmen schnelle Kommunikation, zuverlässige Datenübertragung und flexible Prozesse etwa bei der Instandhaltung. Auf der Hannover Messe 2025 präsentiert </w:t>
      </w:r>
      <w:proofErr w:type="spellStart"/>
      <w:r>
        <w:rPr>
          <w:rFonts w:ascii="Arial" w:eastAsia="Calibri" w:hAnsi="Arial" w:cs="Arial"/>
          <w:b/>
          <w:bCs/>
        </w:rPr>
        <w:t>Pepperl+Fuchs</w:t>
      </w:r>
      <w:proofErr w:type="spellEnd"/>
      <w:r>
        <w:rPr>
          <w:rFonts w:ascii="Arial" w:eastAsia="Calibri" w:hAnsi="Arial" w:cs="Arial"/>
          <w:b/>
          <w:bCs/>
        </w:rPr>
        <w:t xml:space="preserve"> zwei neue 5G-Geräte für den Einsatz im Industriealltag. Das explosionsgeschützte 5G-Tablet Tab-Ex® 05 ist zertifiziert für den Einsatz in ATEX/</w:t>
      </w:r>
      <w:proofErr w:type="spellStart"/>
      <w:r>
        <w:rPr>
          <w:rFonts w:ascii="Arial" w:eastAsia="Calibri" w:hAnsi="Arial" w:cs="Arial"/>
          <w:b/>
          <w:bCs/>
        </w:rPr>
        <w:t>IECEx</w:t>
      </w:r>
      <w:proofErr w:type="spellEnd"/>
      <w:r>
        <w:rPr>
          <w:rFonts w:ascii="Arial" w:eastAsia="Calibri" w:hAnsi="Arial" w:cs="Arial"/>
          <w:b/>
          <w:bCs/>
        </w:rPr>
        <w:t xml:space="preserve"> Zonen 1/21 und 2/22 sowie Division 1 und Division 2. Mit dem Smart-Ex® 203 ergänzt </w:t>
      </w:r>
      <w:proofErr w:type="spellStart"/>
      <w:r>
        <w:rPr>
          <w:rFonts w:ascii="Arial" w:eastAsia="Calibri" w:hAnsi="Arial" w:cs="Arial"/>
          <w:b/>
          <w:bCs/>
        </w:rPr>
        <w:t>Pepperl+Fuchs</w:t>
      </w:r>
      <w:proofErr w:type="spellEnd"/>
      <w:r>
        <w:rPr>
          <w:rFonts w:ascii="Arial" w:eastAsia="Calibri" w:hAnsi="Arial" w:cs="Arial"/>
          <w:b/>
          <w:bCs/>
        </w:rPr>
        <w:t xml:space="preserve"> seine Smartphone-Familie um ein 5G-Device mit Zertifizierung speziell für Zone 2/22 sowie Division 2.</w:t>
      </w:r>
    </w:p>
    <w:p>
      <w:proofErr w:type="spellStart"/>
      <w:r>
        <w:t>Pepperl+Fuchs</w:t>
      </w:r>
      <w:proofErr w:type="spellEnd"/>
      <w:r>
        <w:t xml:space="preserve">, Spezialist für Enterprise-Mobility-Lösungen für Ex- und Non-Ex-Bereiche in der Industrie, stellt zur Hannover Messe zwei neue, explosionsgeschützte 5G-Geräte für den Industrieeinsatz vor, um Digitalisierungsprojekte in Industriebetrieben zu unterstützen und voranzutreiben. Bei beiden Produkten ist die Zukunftssicherheit durch die Android-Enterprise-Recommended- und </w:t>
      </w:r>
      <w:proofErr w:type="spellStart"/>
      <w:r>
        <w:t>ARCore</w:t>
      </w:r>
      <w:proofErr w:type="spellEnd"/>
      <w:r>
        <w:t>-Zertifizierung und kontinuierliche und langjährige Sicherheitsupdates gegeben.</w:t>
      </w:r>
      <w:r>
        <w:br/>
      </w:r>
    </w:p>
    <w:p>
      <w:r>
        <w:lastRenderedPageBreak/>
        <w:br/>
      </w:r>
      <w:r>
        <w:rPr>
          <w:b/>
          <w:bCs/>
        </w:rPr>
        <w:t>8-Zoll-Tablet für explosionsgefährdete Bereiche</w:t>
      </w:r>
      <w:r>
        <w:br/>
      </w:r>
      <w:r>
        <w:br/>
        <w:t xml:space="preserve">Das Tab-Ex® 05 setzt die Tab-Ex®-Erfolgsserie von </w:t>
      </w:r>
      <w:proofErr w:type="spellStart"/>
      <w:r>
        <w:t>Pepperl+Fuchs</w:t>
      </w:r>
      <w:proofErr w:type="spellEnd"/>
      <w:r>
        <w:t xml:space="preserve"> mit dem ersten 5G-Tablet mit der Displaygröße 8 Zoll fort. Es erweist sich als ideales Device, um die hohen Anforderungen digitalisierter Prozessketten im Rahmen von IoT- und Industrie-4.0-Szenarien optimal abzudecken. Aufgrund der optimierten Performance können Mobile </w:t>
      </w:r>
      <w:proofErr w:type="spellStart"/>
      <w:r>
        <w:t>Worker</w:t>
      </w:r>
      <w:proofErr w:type="spellEnd"/>
      <w:r>
        <w:t xml:space="preserve"> mit dem Tablet insbesondere in herausfordernden und rauen industriellen Umgebungen die Effizienz und Produktivität ihrer Arbeitsaufgaben signifikant steigern. Das Tablet mit Common-</w:t>
      </w:r>
      <w:proofErr w:type="spellStart"/>
      <w:r>
        <w:t>Criteria</w:t>
      </w:r>
      <w:proofErr w:type="spellEnd"/>
      <w:r>
        <w:t xml:space="preserve">-Zertifizierung ist dabei auch hervorragend für komplexe Anwendungen ausgelegt, die auf </w:t>
      </w:r>
      <w:proofErr w:type="spellStart"/>
      <w:r>
        <w:t>Augmented</w:t>
      </w:r>
      <w:proofErr w:type="spellEnd"/>
      <w:r>
        <w:t xml:space="preserve"> Reality (AR) basieren.</w:t>
      </w:r>
      <w:r>
        <w:br/>
      </w:r>
      <w:r>
        <w:br/>
      </w:r>
      <w:r>
        <w:rPr>
          <w:b/>
          <w:bCs/>
        </w:rPr>
        <w:t>5G-Smartphone speziell für den Einsatz in Zone 2/22</w:t>
      </w:r>
      <w:r>
        <w:br/>
      </w:r>
      <w:r>
        <w:br/>
        <w:t xml:space="preserve">Mit seinem Fokus auf 4G- und 5G-Konnektivität unterstützt das Smart-Ex® 203 den Einsatz von Campus-Netzwerken in explosionsgefährdeten Bereichen. Mit seinem handlichen Formfaktor und dem bekannten Smart-Ex® 03-UI (User Interface) unterstützt das 6,3-Zoll-Smartphone Mobile </w:t>
      </w:r>
      <w:proofErr w:type="spellStart"/>
      <w:r>
        <w:t>Worker</w:t>
      </w:r>
      <w:proofErr w:type="spellEnd"/>
      <w:r>
        <w:t xml:space="preserve"> zukunftssicher bei allen AR-Anwendungen oder digitalen Prozessen. Mit seiner speziellen Konzeption und Zertifizierung für Zone 2/22 und Division 2 ergänzt das Gerät das </w:t>
      </w:r>
      <w:proofErr w:type="spellStart"/>
      <w:r>
        <w:t>Pepperl+Fuchs-Portfolio</w:t>
      </w:r>
      <w:proofErr w:type="spellEnd"/>
      <w:r>
        <w:t xml:space="preserve"> um ein Smartphone speziell für den Einsatz in Zone 2/22.</w:t>
      </w:r>
      <w:r>
        <w:br/>
      </w:r>
      <w:r>
        <w:br/>
        <w:t xml:space="preserve">Interessierte Unternehmen können die neuen Geräte auf der Hannover Messe im Hands-On kennenlernen und ihre Anforderungen mit </w:t>
      </w:r>
      <w:proofErr w:type="spellStart"/>
      <w:r>
        <w:t>Pepperl+Fuchs-Produktverantwortlichen</w:t>
      </w:r>
      <w:proofErr w:type="spellEnd"/>
      <w:r>
        <w:t xml:space="preserve"> diskutieren: </w:t>
      </w:r>
      <w:proofErr w:type="spellStart"/>
      <w:r>
        <w:rPr>
          <w:b/>
          <w:bCs/>
        </w:rPr>
        <w:t>Pepperl+Fuchs</w:t>
      </w:r>
      <w:proofErr w:type="spellEnd"/>
      <w:r>
        <w:rPr>
          <w:b/>
          <w:bCs/>
        </w:rPr>
        <w:t xml:space="preserve"> präsentiert sein umfangreiches Lösungsportfolio in Halle 9, Stand D76 sowie das Smart-Ex® 03 an der 5G-ACIA-Wall in Halle 14, Stand H06/33.</w:t>
      </w:r>
    </w:p>
    <w:p>
      <w:pPr>
        <w:rPr>
          <w:rFonts w:ascii="Arial" w:eastAsia="Calibri" w:hAnsi="Arial" w:cs="Arial"/>
        </w:rPr>
      </w:pPr>
      <w:r>
        <w:br w:type="page"/>
      </w: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005"/>
        <w:gridCol w:w="5391"/>
      </w:tblGrid>
      <w:tr>
        <w:tc>
          <w:tcPr>
            <w:tcW w:w="9396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pt;height:156pt">
                  <v:imagedata r:id="rId7" o:title=""/>
                </v:shape>
              </w:pict>
            </w:r>
          </w:p>
        </w:tc>
      </w:tr>
      <w:tr>
        <w:tc>
          <w:tcPr>
            <w:tcW w:w="3416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5980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Dank Google </w:t>
            </w:r>
            <w:proofErr w:type="spellStart"/>
            <w:r>
              <w:t>ARCore</w:t>
            </w:r>
            <w:proofErr w:type="spellEnd"/>
            <w:r>
              <w:t xml:space="preserve">-Zertifizierung eignet sich das Tab-Ex® 05 ideal auch für anspruchsvolle </w:t>
            </w:r>
            <w:proofErr w:type="spellStart"/>
            <w:r>
              <w:t>Augmented</w:t>
            </w:r>
            <w:proofErr w:type="spellEnd"/>
            <w:r>
              <w:t>-Reality-Anwendungen.</w:t>
            </w:r>
          </w:p>
        </w:tc>
      </w:tr>
      <w:tr>
        <w:tc>
          <w:tcPr>
            <w:tcW w:w="9396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8" w:history="1">
              <w:r>
                <w:rPr>
                  <w:color w:val="0066CC"/>
                </w:rPr>
                <w:t>https://myconvento.com/public/get_file.php?id=enc2_ZEdKdmFsQlVPVGRUVEdKd1lVY3JkbFpyWWswd1p6MDk&amp;download=1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09"/>
        <w:gridCol w:w="6087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 id="_x0000_i1026" type="#_x0000_t75" style="width:267.75pt;height:150pt">
                  <v:imagedata r:id="rId9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Das Tab-Ex® 05 ist das erste, 5G-basierte 8-Zoll-Android-Tablet von </w:t>
            </w:r>
            <w:proofErr w:type="spellStart"/>
            <w:r>
              <w:t>Pepperl+Fuchs</w:t>
            </w:r>
            <w:proofErr w:type="spellEnd"/>
            <w:r>
              <w:t xml:space="preserve"> und für den Einsatz in explosionsgefährdeten Industriebranchen in den ATEX/IECEX Zonen 1/21 sowie 2/22 und Division 1 und 2 geradezu prädestiniert.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0" w:history="1">
              <w:r>
                <w:rPr>
                  <w:color w:val="0066CC"/>
                </w:rPr>
                <w:t>https://myconvento.com/public/get_file.php?id=enc2_ZFhWMVprMVlaMUpIVkZoUU1UVjBVelVyVW14Q1FUMDk&amp;download=1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9"/>
        <w:gridCol w:w="6067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 id="_x0000_i1027" type="#_x0000_t75" style="width:446.25pt;height:249.75pt">
                  <v:imagedata r:id="rId11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>Das Smart-Ex® 203 ergänzt das Spitzenmodell Smart-Ex® 03 um ein 5G-Smartphone für den Einsatz speziell in ATEX/</w:t>
            </w:r>
            <w:proofErr w:type="spellStart"/>
            <w:r>
              <w:t>IECEx</w:t>
            </w:r>
            <w:proofErr w:type="spellEnd"/>
            <w:r>
              <w:t xml:space="preserve"> Zone 2/22 sowie Division 2.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2" w:history="1">
              <w:r>
                <w:rPr>
                  <w:color w:val="0066CC"/>
                </w:rPr>
                <w:t>https://myconvento.com/public/get_file.php?id=enc2_VjBwVFJYRkdWM1pGVmxSNlQyWnFSM05qYVd0d1p6MDk&amp;download=1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tbl>
      <w:tblPr>
        <w:tblStyle w:val="Tabellenraster1"/>
        <w:tblpPr w:leftFromText="180" w:rightFromText="180" w:vertAnchor="text" w:horzAnchor="margin" w:tblpY="36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lastRenderedPageBreak/>
              <w:t>Autor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Christian Uhl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Schlagworte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  <w:lang w:val="en-US"/>
              </w:rPr>
            </w:pPr>
            <w:r>
              <w:rPr>
                <w:lang w:val="en-US"/>
              </w:rPr>
              <w:t xml:space="preserve">Tab-Ex® 05, Smart-Ex 203, 5G, </w:t>
            </w:r>
            <w:proofErr w:type="spellStart"/>
            <w:r>
              <w:rPr>
                <w:lang w:val="en-US"/>
              </w:rPr>
              <w:t>explosionsgeschützt</w:t>
            </w:r>
            <w:proofErr w:type="spellEnd"/>
            <w:r>
              <w:rPr>
                <w:lang w:val="en-US"/>
              </w:rPr>
              <w:t xml:space="preserve">, Augmented Reality, Android Enterprise Recommended, Common Criteria, Google </w:t>
            </w:r>
            <w:proofErr w:type="spellStart"/>
            <w:r>
              <w:rPr>
                <w:lang w:val="en-US"/>
              </w:rPr>
              <w:t>ARCore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Digitalisierung</w:t>
            </w:r>
            <w:proofErr w:type="spellEnd"/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2.235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 Kurzfassung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584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Typ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Streumeldung - Pressemappe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Geschäftsbereich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MCC</w:t>
            </w:r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Pressekontakt:</w:t>
      </w:r>
    </w:p>
    <w:tbl>
      <w:tblPr>
        <w:tblW w:w="9059" w:type="dxa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</w:tblBorders>
        <w:tblLook w:val="01E0" w:firstRow="1" w:lastRow="1" w:firstColumn="1" w:lastColumn="1" w:noHBand="0" w:noVBand="0"/>
      </w:tblPr>
      <w:tblGrid>
        <w:gridCol w:w="4816"/>
        <w:gridCol w:w="4243"/>
      </w:tblGrid>
      <w:tr>
        <w:trPr>
          <w:trHeight w:val="2349"/>
        </w:trPr>
        <w:tc>
          <w:tcPr>
            <w:tcW w:w="481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  <w:t>Irmtraud Schmitt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szCs w:val="16"/>
                <w:lang w:eastAsia="zh-CN"/>
              </w:rPr>
              <w:t xml:space="preserve">Referentin Öffentlichkeitsarbeit 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776-1215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color w:val="00A587" w:themeColor="accent1"/>
                <w:szCs w:val="16"/>
                <w:lang w:eastAsia="de-DE"/>
              </w:rPr>
              <w:t>ischmitt@de.pepperl-fuchs.com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424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eastAsia="de-DE"/>
              </w:rPr>
              <w:t>Annette Kern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szCs w:val="24"/>
                <w:lang w:eastAsia="de-DE"/>
              </w:rPr>
              <w:t>Presse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776-1388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hyperlink r:id="rId13" w:history="1">
              <w:r>
                <w:rPr>
                  <w:rStyle w:val="Hyperlink"/>
                  <w:rFonts w:ascii="Arial" w:eastAsia="Calibri" w:hAnsi="Arial" w:cs="Arial"/>
                  <w:szCs w:val="16"/>
                  <w:u w:val="none"/>
                  <w:lang w:eastAsia="de-DE"/>
                </w:rPr>
                <w:t>akern@de.pepperl-fuchs.com</w:t>
              </w:r>
            </w:hyperlink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Calibri" w:hAnsi="Arial" w:cs="Arial"/>
          <w:b/>
          <w:color w:val="00A587" w:themeColor="accent1"/>
        </w:rPr>
      </w:pPr>
      <w:hyperlink r:id="rId14" w:history="1">
        <w:r>
          <w:rPr>
            <w:rStyle w:val="Hyperlink"/>
            <w:rFonts w:ascii="Arial" w:eastAsia="Calibri" w:hAnsi="Arial" w:cs="Arial"/>
            <w:b/>
            <w:color w:val="00A587" w:themeColor="accent1"/>
            <w:u w:val="none"/>
          </w:rPr>
          <w:t>https://www.pepperl-fuchs.com/</w:t>
        </w:r>
      </w:hyperlink>
    </w:p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Zur honorarfreien Verwendung für Redaktionen.</w:t>
      </w:r>
    </w:p>
    <w:sectPr>
      <w:headerReference w:type="default" r:id="rId15"/>
      <w:footerReference w:type="default" r:id="rId16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sdt>
      <w:sdtPr>
        <w:id w:val="2084571717"/>
        <w:docPartObj>
          <w:docPartGallery w:val="Page Numbers (Bottom of Page)"/>
          <w:docPartUnique/>
        </w:docPartObj>
      </w:sdtPr>
      <w:sdtContent>
        <w:r>
          <w:t xml:space="preserve">Seite </w:t>
        </w:r>
        <w:r>
          <w:rPr>
            <w:b/>
            <w:bCs/>
            <w:color w:val="00A587" w:themeColor="accent1"/>
          </w:rPr>
          <w:fldChar w:fldCharType="begin"/>
        </w:r>
        <w:r>
          <w:rPr>
            <w:b/>
            <w:bCs/>
            <w:color w:val="00A587" w:themeColor="accent1"/>
          </w:rPr>
          <w:instrText>PAGE   \* MERGEFORMAT</w:instrText>
        </w:r>
        <w:r>
          <w:rPr>
            <w:b/>
            <w:bCs/>
            <w:color w:val="00A587" w:themeColor="accent1"/>
          </w:rPr>
          <w:fldChar w:fldCharType="separate"/>
        </w:r>
        <w:r>
          <w:rPr>
            <w:b/>
            <w:bCs/>
            <w:color w:val="00A587" w:themeColor="accent1"/>
          </w:rPr>
          <w:t>2</w:t>
        </w:r>
        <w:r>
          <w:rPr>
            <w:b/>
            <w:bCs/>
            <w:color w:val="00A587" w:themeColor="accent1"/>
          </w:rPr>
          <w:fldChar w:fldCharType="end"/>
        </w:r>
      </w:sdtContent>
    </w:sdt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dateiname"/>
  <w:p>
    <w:pPr>
      <w:tabs>
        <w:tab w:val="right" w:pos="9072"/>
      </w:tabs>
      <w:spacing w:after="0"/>
      <w:rPr>
        <w:rFonts w:eastAsia="Times New Roman" w:cs="Times New Roman"/>
        <w:szCs w:val="20"/>
        <w:lang w:eastAsia="de-DE"/>
      </w:rPr>
    </w:pPr>
    <w:r>
      <w:rPr>
        <w:rFonts w:eastAsia="Times New Roman" w:cs="Times New Roman"/>
        <w:noProof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-22099</wp:posOffset>
              </wp:positionH>
              <wp:positionV relativeFrom="paragraph">
                <wp:posOffset>192405</wp:posOffset>
              </wp:positionV>
              <wp:extent cx="5810250" cy="0"/>
              <wp:effectExtent l="5080" t="9525" r="13970" b="952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8139DB8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75pt,15.15pt" to="45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" strokeweight=".5pt"/>
          </w:pict>
        </mc:Fallback>
      </mc:AlternateContent>
    </w:r>
    <w:r>
      <w:rPr>
        <w:rFonts w:eastAsia="Times New Roman" w:cs="Times New Roman"/>
        <w:sz w:val="16"/>
        <w:szCs w:val="24"/>
        <w:lang w:eastAsia="de-DE"/>
      </w:rPr>
      <w:t>PA_7628_GER_</w:t>
    </w:r>
    <w:bookmarkEnd w:id="0"/>
    <w:r>
      <w:rPr>
        <w:rFonts w:eastAsia="Times New Roman" w:cs="Times New Roman"/>
        <w:sz w:val="16"/>
        <w:szCs w:val="24"/>
        <w:lang w:eastAsia="de-DE"/>
      </w:rPr>
      <w:t>Tab-Ex_05_Smart-Ex_03_Pressemappe_HMI_25</w:t>
    </w:r>
    <w:r>
      <w:rPr>
        <w:rFonts w:eastAsia="Times New Roman" w:cs="Times New Roman"/>
        <w:szCs w:val="20"/>
        <w:lang w:eastAsia="de-DE"/>
      </w:rPr>
      <w:tab/>
    </w:r>
    <w:r>
      <w:rPr>
        <w:rFonts w:eastAsia="Times New Roman" w:cs="Times New Roman"/>
        <w:noProof/>
        <w:szCs w:val="20"/>
        <w:lang w:val="en-US"/>
      </w:rPr>
      <w:drawing>
        <wp:inline distT="0" distB="0" distL="0" distR="0">
          <wp:extent cx="1514489" cy="168275"/>
          <wp:effectExtent l="0" t="0" r="9525" b="317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+F_Logo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374" cy="176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5418"/>
    <w:multiLevelType w:val="hybridMultilevel"/>
    <w:tmpl w:val="E69EE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116"/>
    <w:multiLevelType w:val="hybridMultilevel"/>
    <w:tmpl w:val="0746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6892"/>
    <w:multiLevelType w:val="hybridMultilevel"/>
    <w:tmpl w:val="E7B6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76411"/>
    <w:multiLevelType w:val="hybridMultilevel"/>
    <w:tmpl w:val="6BDC4E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chartTrackingRefBased/>
  <w15:docId w15:val="{1F9CC98F-17B6-4D1B-B188-6E9CEA3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outlineLvl w:val="0"/>
    </w:pPr>
    <w:rPr>
      <w:rFonts w:ascii="Arial" w:eastAsia="Calibri" w:hAnsi="Arial" w:cs="Arial"/>
      <w:b/>
      <w:bCs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outlineLvl w:val="1"/>
    </w:pPr>
    <w:rPr>
      <w:rFonts w:ascii="Arial" w:eastAsia="Calibri" w:hAnsi="Arial" w:cs="Arial"/>
      <w:b/>
      <w:b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Calibri" w:hAnsi="Arial" w:cs="Arial"/>
      <w:b/>
      <w:bCs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Calibri" w:hAnsi="Arial" w:cs="Arial"/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0"/>
      <w:lang w:val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0"/>
      <w:lang w:val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0A587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nvento.com/public/get_file.php?id=enc2_ZEdKdmFsQlVPVGRUVEdKd1lVY3JkbFpyWWswd1p6MDk&amp;download=1" TargetMode="External"/><Relationship Id="rId13" Type="http://schemas.openxmlformats.org/officeDocument/2006/relationships/hyperlink" Target="mailto:akern@de.pepperl-fuchs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myconvento.com/public/get_file.php?id=enc2_VjBwVFJYRkdWM1pGVmxSNlQyWnFSM05qYVd0d1p6MDk&amp;download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myconvento.com/public/get_file.php?id=enc2_ZFhWMVprMVlaMUpIVkZoUU1UVjBVelVyVW14Q1FUMDk&amp;download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www.pepperl-fuchs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Benutzerdefiniert 3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0A587"/>
      </a:hlink>
      <a:folHlink>
        <a:srgbClr val="8E99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750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Schaffner Kiriaki</dc:creator>
  <cp:keywords/>
  <dc:description/>
  <cp:lastModifiedBy>Schmitt Irmtraud</cp:lastModifiedBy>
  <cp:revision>4</cp:revision>
  <cp:lastPrinted>2025-03-05T13:59:00Z</cp:lastPrinted>
  <dcterms:created xsi:type="dcterms:W3CDTF">2025-03-05T14:27:00Z</dcterms:created>
  <dcterms:modified xsi:type="dcterms:W3CDTF">2025-03-07T15:09:00Z</dcterms:modified>
</cp:coreProperties>
</file>