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lang w:val="en-US"/>
        </w:rPr>
      </w:pPr>
    </w:p>
    <w:p>
      <w:pPr>
        <w:pStyle w:val="berschrift1"/>
      </w:pPr>
      <w:r>
        <w:t xml:space="preserve">Generational Change at the Executive Level After 30 Years: Dr.-Ing. Gunther Kegel and Werner </w:t>
      </w:r>
      <w:proofErr w:type="spellStart"/>
      <w:r>
        <w:t>Guthier</w:t>
      </w:r>
      <w:proofErr w:type="spellEnd"/>
      <w:r>
        <w:t xml:space="preserve"> Pass the Baton to Their Successors</w:t>
      </w:r>
    </w:p>
    <w:p>
      <w:pPr>
        <w:rPr>
          <w:rFonts w:ascii="Arial" w:eastAsia="Calibri" w:hAnsi="Arial" w:cs="Arial"/>
          <w:b/>
          <w:bCs/>
          <w:lang w:val="en-US"/>
        </w:rPr>
      </w:pPr>
    </w:p>
    <w:p>
      <w:pPr>
        <w:rPr>
          <w:lang w:val="en-US"/>
        </w:rPr>
      </w:pPr>
      <w:r>
        <w:rPr>
          <w:lang w:val="en-US"/>
        </w:rPr>
        <w:t xml:space="preserve">Mannheim, 19.03.2025: After three decades of continuity at the top of the company, the traditional family business </w:t>
      </w:r>
      <w:proofErr w:type="spellStart"/>
      <w:r>
        <w:rPr>
          <w:lang w:val="en-US"/>
        </w:rPr>
        <w:t>Pepperl+Fuchs</w:t>
      </w:r>
      <w:proofErr w:type="spellEnd"/>
      <w:r>
        <w:rPr>
          <w:lang w:val="en-US"/>
        </w:rPr>
        <w:t xml:space="preserve"> is now repositioning itself: Dr.-Ing. Gunther Kegel, CEO for many years, and Werner </w:t>
      </w:r>
      <w:proofErr w:type="spellStart"/>
      <w:r>
        <w:rPr>
          <w:lang w:val="en-US"/>
        </w:rPr>
        <w:t>Guthier</w:t>
      </w:r>
      <w:proofErr w:type="spellEnd"/>
      <w:r>
        <w:rPr>
          <w:lang w:val="en-US"/>
        </w:rPr>
        <w:t xml:space="preserve">, CFO, are stepping down from the Executive Board as planned to make way for a younger generation. They will initially remain with the family shareholders of </w:t>
      </w:r>
      <w:proofErr w:type="spellStart"/>
      <w:r>
        <w:rPr>
          <w:lang w:val="en-US"/>
        </w:rPr>
        <w:t>Pepperl+Fuchs</w:t>
      </w:r>
      <w:proofErr w:type="spellEnd"/>
      <w:r>
        <w:rPr>
          <w:lang w:val="en-US"/>
        </w:rPr>
        <w:t xml:space="preserve"> in an advisory capacity. They will be succeeded by Dr. Wilhelm Nehring as the new CEO and Martin Walter as the new CFO – a deliberate and long-planned rejuvenation to actively shape the future of the company. Both will take up their duties on May 1, 2025. </w:t>
      </w:r>
      <w:r>
        <w:rPr>
          <w:lang w:val="en-US"/>
        </w:rPr>
        <w:br/>
        <w:t> </w:t>
      </w:r>
      <w:r>
        <w:rPr>
          <w:lang w:val="en-US"/>
        </w:rPr>
        <w:br/>
        <w:t xml:space="preserve">Dr. Wilhelm Nehring most recently served as CEO of a mechanical engineering company, and previously held senior leadership positions in the electrical industry. Martin Walter was formerly Senior Vice President of Controlling &amp; Accounting at a globally active German industrial company. Both have built impressive careers and bring fresh perspectives and new impulses to </w:t>
      </w:r>
      <w:proofErr w:type="spellStart"/>
      <w:r>
        <w:rPr>
          <w:lang w:val="en-US"/>
        </w:rPr>
        <w:t>Pepperl+Fuchs</w:t>
      </w:r>
      <w:proofErr w:type="spellEnd"/>
      <w:r>
        <w:rPr>
          <w:lang w:val="en-US"/>
        </w:rPr>
        <w:t xml:space="preserve">' leadership, which the Mannheim-based company seeks to leverage for its continued success. The entire executive board is convinced that the expertise, strategic mindset, and innovative approaches of Dr. Wilhelm Nehring and Martin Walter will enrich </w:t>
      </w:r>
      <w:proofErr w:type="spellStart"/>
      <w:r>
        <w:rPr>
          <w:lang w:val="en-US"/>
        </w:rPr>
        <w:t>Pepperl+Fuchs</w:t>
      </w:r>
      <w:proofErr w:type="spellEnd"/>
      <w:r>
        <w:rPr>
          <w:lang w:val="en-US"/>
        </w:rPr>
        <w:t xml:space="preserve"> with fresh ideas and a modern leadership culture, bridging the significant gap left by Dr.-Ing. Gunther Kegel and Werner </w:t>
      </w:r>
      <w:proofErr w:type="spellStart"/>
      <w:r>
        <w:rPr>
          <w:lang w:val="en-US"/>
        </w:rPr>
        <w:t>Guthier</w:t>
      </w:r>
      <w:proofErr w:type="spellEnd"/>
      <w:r>
        <w:rPr>
          <w:lang w:val="en-US"/>
        </w:rPr>
        <w:t>.</w:t>
      </w:r>
    </w:p>
    <w:p>
      <w:pPr>
        <w:rPr>
          <w:lang w:val="en-US"/>
        </w:rPr>
      </w:pPr>
      <w:r>
        <w:rPr>
          <w:lang w:val="en-US"/>
        </w:rPr>
        <w:br/>
        <w:t xml:space="preserve">"After more than 30 years of responsibility for this company, it is naturally not easy to let go of the reins. One does not want to leave the role without knowing that a successor will continue the task with just as much passion. However, I am absolutely confident in Dr. Wilhelm Nehring and Martin Walter: they have great potential and also possess the spirit and vision needed to lead </w:t>
      </w:r>
      <w:proofErr w:type="spellStart"/>
      <w:r>
        <w:rPr>
          <w:lang w:val="en-US"/>
        </w:rPr>
        <w:t>Pepperl+Fuchs</w:t>
      </w:r>
      <w:proofErr w:type="spellEnd"/>
      <w:r>
        <w:rPr>
          <w:lang w:val="en-US"/>
        </w:rPr>
        <w:t xml:space="preserve"> into a successful future. They will do a fantastic job!" said Dr.-Ing. Gunther Kegel. Together with the family shareholders and CHRO Florian Ochs, he has </w:t>
      </w:r>
    </w:p>
    <w:p>
      <w:r>
        <w:rPr>
          <w:lang w:val="en-US"/>
        </w:rPr>
        <w:lastRenderedPageBreak/>
        <w:t>carefully prepared this transition over an extended period to ensure the company’s continuity and stability.</w:t>
      </w:r>
      <w:r>
        <w:rPr>
          <w:lang w:val="en-US"/>
        </w:rPr>
        <w:br/>
      </w:r>
      <w:r>
        <w:rPr>
          <w:lang w:val="en-US"/>
        </w:rPr>
        <w:br/>
        <w:t xml:space="preserve">With this generational change, </w:t>
      </w:r>
      <w:proofErr w:type="spellStart"/>
      <w:r>
        <w:rPr>
          <w:lang w:val="en-US"/>
        </w:rPr>
        <w:t>Pepperl+Fuchs</w:t>
      </w:r>
      <w:proofErr w:type="spellEnd"/>
      <w:r>
        <w:rPr>
          <w:lang w:val="en-US"/>
        </w:rPr>
        <w:t xml:space="preserve"> is sending a clear signal for the future: The new executive leadership will continue the company’s successful trajectory while also exploring innovative paths to ensure long-term growth.</w:t>
      </w:r>
      <w:r>
        <w:rPr>
          <w:lang w:val="en-US"/>
        </w:rPr>
        <w:br/>
      </w:r>
      <w:r>
        <w:rPr>
          <w:lang w:val="en-US"/>
        </w:rPr>
        <w:br/>
        <w:t xml:space="preserve">About </w:t>
      </w:r>
      <w:proofErr w:type="spellStart"/>
      <w:r>
        <w:rPr>
          <w:lang w:val="en-US"/>
        </w:rPr>
        <w:t>Pepperl+Fuchs</w:t>
      </w:r>
      <w:proofErr w:type="spellEnd"/>
      <w:r>
        <w:rPr>
          <w:lang w:val="en-US"/>
        </w:rPr>
        <w:br/>
      </w:r>
      <w:r>
        <w:rPr>
          <w:lang w:val="en-US"/>
        </w:rPr>
        <w:br/>
      </w:r>
      <w:proofErr w:type="spellStart"/>
      <w:r>
        <w:rPr>
          <w:lang w:val="en-US"/>
        </w:rPr>
        <w:t>Pepperl+Fuchs</w:t>
      </w:r>
      <w:proofErr w:type="spellEnd"/>
      <w:r>
        <w:rPr>
          <w:lang w:val="en-US"/>
        </w:rPr>
        <w:t xml:space="preserve"> is a global leader in industrial automation technology. As a pioneer in the development of proximity sensors and electronic explosion protection, the company’s innovations today drive the digital transformation of automation—from components to complete solutions.</w:t>
      </w:r>
      <w:r>
        <w:rPr>
          <w:lang w:val="en-US"/>
        </w:rPr>
        <w:br/>
      </w:r>
      <w:r>
        <w:rPr>
          <w:lang w:val="en-US"/>
        </w:rPr>
        <w:br/>
        <w:t xml:space="preserve">With approximately €840 million in revenue and more than 6,300 employees worldwide, </w:t>
      </w:r>
      <w:proofErr w:type="spellStart"/>
      <w:r>
        <w:rPr>
          <w:lang w:val="en-US"/>
        </w:rPr>
        <w:t>Pepperl+Fuchs</w:t>
      </w:r>
      <w:proofErr w:type="spellEnd"/>
      <w:r>
        <w:rPr>
          <w:lang w:val="en-US"/>
        </w:rPr>
        <w:t xml:space="preserve"> offers a broad portfolio ranging from industrial sensor technology for manufacturing to explosion protection in the process industry, as well as complete automation solutions and digital services.</w:t>
      </w:r>
      <w:r>
        <w:rPr>
          <w:lang w:val="en-US"/>
        </w:rPr>
        <w:br/>
      </w:r>
      <w:r>
        <w:rPr>
          <w:lang w:val="en-US"/>
        </w:rPr>
        <w:br/>
        <w:t>Founded in 1945, the company operates in more than 80 locations across all continents, including 10 competence centers and production facilities in Germany, the USA, Singapore, Vietnam, Indonesia, the Czech Republic, and Hungary.</w:t>
      </w:r>
      <w:r>
        <w:rPr>
          <w:lang w:val="en-US"/>
        </w:rPr>
        <w:br/>
      </w:r>
      <w:r>
        <w:rPr>
          <w:lang w:val="en-US"/>
        </w:rPr>
        <w:br/>
        <w:t xml:space="preserve">With a commitment to developing innovative technologies and fostering close partnerships with customers, </w:t>
      </w:r>
      <w:proofErr w:type="spellStart"/>
      <w:r>
        <w:rPr>
          <w:lang w:val="en-US"/>
        </w:rPr>
        <w:t>Pepperl+Fuchs</w:t>
      </w:r>
      <w:proofErr w:type="spellEnd"/>
      <w:r>
        <w:rPr>
          <w:lang w:val="en-US"/>
        </w:rPr>
        <w:t xml:space="preserve"> is shaping the future of automation.</w:t>
      </w:r>
      <w:r>
        <w:rPr>
          <w:lang w:val="en-US"/>
        </w:rPr>
        <w:br/>
      </w:r>
      <w:r>
        <w:rPr>
          <w:lang w:val="en-US"/>
        </w:rPr>
        <w:br/>
        <w:t> </w:t>
      </w:r>
      <w:r>
        <w:rPr>
          <w:lang w:val="en-US"/>
        </w:rPr>
        <w:br/>
      </w:r>
      <w:r>
        <w:rPr>
          <w:lang w:val="en-US"/>
        </w:rPr>
        <w:br/>
      </w:r>
      <w:proofErr w:type="spellStart"/>
      <w:r>
        <w:t>For</w:t>
      </w:r>
      <w:proofErr w:type="spellEnd"/>
      <w:r>
        <w:t xml:space="preserve"> </w:t>
      </w:r>
      <w:proofErr w:type="spellStart"/>
      <w:r>
        <w:t>more</w:t>
      </w:r>
      <w:proofErr w:type="spellEnd"/>
      <w:r>
        <w:t xml:space="preserve"> </w:t>
      </w:r>
      <w:proofErr w:type="spellStart"/>
      <w:r>
        <w:t>information</w:t>
      </w:r>
      <w:proofErr w:type="spellEnd"/>
      <w:r>
        <w:t xml:space="preserve">, </w:t>
      </w:r>
      <w:proofErr w:type="spellStart"/>
      <w:r>
        <w:t>visit</w:t>
      </w:r>
      <w:proofErr w:type="spellEnd"/>
      <w:r>
        <w:t xml:space="preserve"> www.pepperl-fuchs.com.</w:t>
      </w:r>
    </w:p>
    <w:p>
      <w:pPr>
        <w:rPr>
          <w:rFonts w:ascii="Arial" w:eastAsia="Calibri" w:hAnsi="Arial" w:cs="Arial"/>
          <w:lang w:val="en-US"/>
        </w:rPr>
      </w:pPr>
      <w:r>
        <w:br w:type="page"/>
      </w: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648"/>
        <w:gridCol w:w="6278"/>
      </w:tblGrid>
      <w:tr>
        <w:trPr>
          <w:trHeight w:val="4314"/>
        </w:trPr>
        <w:tc>
          <w:tcPr>
            <w:tcW w:w="8926" w:type="dxa"/>
            <w:gridSpan w:val="2"/>
          </w:tcPr>
          <w:p>
            <w:pPr>
              <w:jc w:val="center"/>
              <w:rPr>
                <w:rFonts w:ascii="Arial" w:eastAsia="Calibri" w:hAnsi="Arial" w:cs="Arial"/>
              </w:rPr>
            </w:pPr>
            <w:r>
              <w:rPr>
                <w:rFonts w:ascii="Arial" w:eastAsia="Calibri" w:hAnsi="Arial" w:cs="Arial"/>
                <w:noProof/>
              </w:rPr>
              <w:lastRenderedPageBreak/>
              <w:drawing>
                <wp:inline distT="0" distB="0" distL="0" distR="0">
                  <wp:extent cx="4875984" cy="3007791"/>
                  <wp:effectExtent l="0" t="0" r="127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12892" cy="3030558"/>
                          </a:xfrm>
                          <a:prstGeom prst="rect">
                            <a:avLst/>
                          </a:prstGeom>
                          <a:noFill/>
                          <a:ln>
                            <a:noFill/>
                          </a:ln>
                        </pic:spPr>
                      </pic:pic>
                    </a:graphicData>
                  </a:graphic>
                </wp:inline>
              </w:drawing>
            </w:r>
          </w:p>
        </w:tc>
      </w:tr>
      <w:tr>
        <w:trPr>
          <w:trHeight w:val="676"/>
        </w:trPr>
        <w:tc>
          <w:tcPr>
            <w:tcW w:w="2648" w:type="dxa"/>
          </w:tcPr>
          <w:p>
            <w:pPr>
              <w:rPr>
                <w:rFonts w:ascii="Arial" w:eastAsia="Calibri" w:hAnsi="Arial" w:cs="Arial"/>
                <w:b/>
                <w:bCs/>
              </w:rPr>
            </w:pPr>
            <w:r>
              <w:rPr>
                <w:rFonts w:ascii="Arial" w:eastAsia="Calibri" w:hAnsi="Arial" w:cs="Arial"/>
                <w:b/>
                <w:bCs/>
              </w:rPr>
              <w:t>Caption</w:t>
            </w:r>
          </w:p>
        </w:tc>
        <w:tc>
          <w:tcPr>
            <w:tcW w:w="6278" w:type="dxa"/>
          </w:tcPr>
          <w:p>
            <w:pPr>
              <w:rPr>
                <w:rFonts w:ascii="Arial" w:eastAsia="Calibri" w:hAnsi="Arial" w:cs="Arial"/>
              </w:rPr>
            </w:pPr>
            <w:r>
              <w:t xml:space="preserve">(l.) Werner Guthier, CFO and (r.) </w:t>
            </w:r>
            <w:r>
              <w:t>Dr.-Ing. Gunther Kegel, CEO</w:t>
            </w:r>
            <w:r>
              <w:t xml:space="preserve">, </w:t>
            </w:r>
            <w:proofErr w:type="spellStart"/>
            <w:r>
              <w:t>Pepperl+Fuchs</w:t>
            </w:r>
            <w:proofErr w:type="spellEnd"/>
            <w:r>
              <w:t xml:space="preserve"> SE</w:t>
            </w:r>
          </w:p>
        </w:tc>
      </w:tr>
    </w:tbl>
    <w:p>
      <w:pPr>
        <w:tabs>
          <w:tab w:val="left" w:pos="7068"/>
        </w:tabs>
        <w:rPr>
          <w:rFonts w:ascii="Arial" w:eastAsia="Calibri" w:hAnsi="Arial" w:cs="Arial"/>
        </w:rPr>
      </w:pPr>
      <w:r>
        <w:rPr>
          <w:rFonts w:ascii="Arial" w:eastAsia="Calibri" w:hAnsi="Arial" w:cs="Arial"/>
        </w:rPr>
        <w:tab/>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t>Autor</w:t>
            </w:r>
          </w:p>
        </w:tc>
        <w:tc>
          <w:tcPr>
            <w:tcW w:w="6232" w:type="dxa"/>
          </w:tcPr>
          <w:p>
            <w:pPr>
              <w:rPr>
                <w:rFonts w:ascii="Arial" w:eastAsia="Calibri" w:hAnsi="Arial" w:cs="Arial"/>
              </w:rPr>
            </w:pPr>
            <w:proofErr w:type="spellStart"/>
            <w:r>
              <w:t>Pepperl+Fuchs</w:t>
            </w:r>
            <w:proofErr w:type="spellEnd"/>
            <w:r>
              <w:t xml:space="preserve"> SE</w:t>
            </w:r>
          </w:p>
        </w:tc>
      </w:tr>
      <w:tr>
        <w:tc>
          <w:tcPr>
            <w:tcW w:w="2830" w:type="dxa"/>
          </w:tcPr>
          <w:p>
            <w:pPr>
              <w:rPr>
                <w:rFonts w:ascii="Arial" w:eastAsia="Calibri" w:hAnsi="Arial" w:cs="Arial"/>
                <w:b/>
                <w:bCs/>
              </w:rPr>
            </w:pPr>
            <w:proofErr w:type="spellStart"/>
            <w:r>
              <w:rPr>
                <w:rFonts w:ascii="Arial" w:eastAsia="Calibri" w:hAnsi="Arial" w:cs="Arial"/>
                <w:b/>
                <w:bCs/>
              </w:rPr>
              <w:t>Characters</w:t>
            </w:r>
            <w:proofErr w:type="spellEnd"/>
          </w:p>
        </w:tc>
        <w:tc>
          <w:tcPr>
            <w:tcW w:w="6232" w:type="dxa"/>
          </w:tcPr>
          <w:p>
            <w:pPr>
              <w:rPr>
                <w:rFonts w:ascii="Arial" w:eastAsia="Calibri" w:hAnsi="Arial" w:cs="Arial"/>
              </w:rPr>
            </w:pPr>
            <w:r>
              <w:rPr>
                <w:rFonts w:ascii="Arial" w:eastAsia="Calibri" w:hAnsi="Arial" w:cs="Arial"/>
              </w:rPr>
              <w:t xml:space="preserve">3.445 </w:t>
            </w:r>
            <w:proofErr w:type="spellStart"/>
            <w:r>
              <w:rPr>
                <w:rFonts w:ascii="Arial" w:eastAsia="Calibri" w:hAnsi="Arial" w:cs="Arial"/>
              </w:rPr>
              <w:t>without</w:t>
            </w:r>
            <w:proofErr w:type="spellEnd"/>
            <w:r>
              <w:rPr>
                <w:rFonts w:ascii="Arial" w:eastAsia="Calibri" w:hAnsi="Arial" w:cs="Arial"/>
              </w:rPr>
              <w:t xml:space="preserve"> </w:t>
            </w:r>
            <w:proofErr w:type="spellStart"/>
            <w:r>
              <w:rPr>
                <w:rFonts w:ascii="Arial" w:eastAsia="Calibri" w:hAnsi="Arial" w:cs="Arial"/>
              </w:rPr>
              <w:t>spaces</w:t>
            </w:r>
            <w:proofErr w:type="spellEnd"/>
          </w:p>
        </w:tc>
      </w:tr>
    </w:tbl>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val="en-US" w:eastAsia="de-DE"/>
              </w:rPr>
            </w:pPr>
            <w:r>
              <w:rPr>
                <w:rFonts w:ascii="Arial" w:eastAsia="Calibri" w:hAnsi="Arial" w:cs="Arial"/>
                <w:b/>
                <w:bCs/>
                <w:szCs w:val="16"/>
                <w:lang w:val="en-US" w:eastAsia="de-DE"/>
              </w:rPr>
              <w:t>Irmtraud Schmitt</w:t>
            </w:r>
          </w:p>
          <w:p>
            <w:pPr>
              <w:spacing w:after="0" w:line="240" w:lineRule="auto"/>
              <w:ind w:right="23"/>
              <w:rPr>
                <w:rFonts w:ascii="Arial" w:eastAsia="Calibri" w:hAnsi="Arial" w:cs="Arial"/>
                <w:szCs w:val="16"/>
                <w:lang w:val="en-US"/>
              </w:rPr>
            </w:pPr>
            <w:r>
              <w:rPr>
                <w:rFonts w:ascii="Arial" w:hAnsi="Arial"/>
                <w:lang w:val="en-US"/>
              </w:rPr>
              <w:t xml:space="preserve">Public relations officer </w:t>
            </w:r>
          </w:p>
          <w:p>
            <w:pPr>
              <w:spacing w:after="0" w:line="240" w:lineRule="auto"/>
              <w:ind w:right="23"/>
              <w:rPr>
                <w:rFonts w:ascii="Arial" w:eastAsia="Calibri" w:hAnsi="Arial" w:cs="Arial"/>
                <w:szCs w:val="16"/>
                <w:lang w:val="en-US" w:eastAsia="zh-CN"/>
              </w:rPr>
            </w:pPr>
          </w:p>
          <w:p>
            <w:pPr>
              <w:tabs>
                <w:tab w:val="left" w:pos="708"/>
                <w:tab w:val="center" w:pos="5400"/>
                <w:tab w:val="right" w:pos="9072"/>
              </w:tabs>
              <w:spacing w:after="0"/>
              <w:rPr>
                <w:rFonts w:ascii="Arial" w:eastAsia="Times New Roman" w:hAnsi="Arial" w:cs="Times New Roman"/>
                <w:color w:val="595959"/>
                <w:szCs w:val="16"/>
                <w:lang w:val="en-US" w:eastAsia="de-DE"/>
              </w:rPr>
            </w:pPr>
            <w:proofErr w:type="spellStart"/>
            <w:r>
              <w:rPr>
                <w:rFonts w:ascii="Arial" w:eastAsia="Times New Roman" w:hAnsi="Arial" w:cs="Times New Roman"/>
                <w:color w:val="595959"/>
                <w:szCs w:val="16"/>
                <w:lang w:val="en-US" w:eastAsia="de-DE"/>
              </w:rPr>
              <w:t>Pepperl+Fuchs</w:t>
            </w:r>
            <w:proofErr w:type="spellEnd"/>
            <w:r>
              <w:rPr>
                <w:rFonts w:ascii="Arial" w:eastAsia="Times New Roman" w:hAnsi="Arial" w:cs="Times New Roman"/>
                <w:color w:val="595959"/>
                <w:szCs w:val="16"/>
                <w:lang w:val="en-US"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8"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9" w:history="1">
        <w:r>
          <w:rPr>
            <w:rStyle w:val="Hyperlink"/>
            <w:rFonts w:ascii="Arial" w:eastAsia="Calibri" w:hAnsi="Arial" w:cs="Arial"/>
            <w:b/>
            <w:color w:val="00A587" w:themeColor="accent1"/>
            <w:u w:val="none"/>
          </w:rPr>
          <w:t>https://www.pepperl-fuchs.com/</w:t>
        </w:r>
      </w:hyperlink>
    </w:p>
    <w:p>
      <w:pPr>
        <w:rPr>
          <w:rFonts w:ascii="Arial" w:eastAsia="Calibri" w:hAnsi="Arial" w:cs="Arial"/>
          <w:lang w:val="en-US"/>
        </w:rPr>
      </w:pPr>
      <w:r>
        <w:rPr>
          <w:rFonts w:ascii="Arial" w:hAnsi="Arial"/>
          <w:lang w:val="en-US"/>
        </w:rPr>
        <w:t>For use free-of-charge in publications.</w:t>
      </w:r>
    </w:p>
    <w:sectPr>
      <w:headerReference w:type="default" r:id="rId10"/>
      <w:footerReference w:type="default" r:id="rId11"/>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4571717"/>
      <w:docPartObj>
        <w:docPartGallery w:val="Page Numbers (Bottom of Page)"/>
        <w:docPartUnique/>
      </w:docPartObj>
    </w:sdtPr>
    <w:sdtContent>
      <w:p>
        <w:pPr>
          <w:pStyle w:val="Fuzeile"/>
          <w:jc w:val="right"/>
        </w:pPr>
        <w:r>
          <w:t xml:space="preserve">Page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p>
    </w:sdtContent>
  </w:sdt>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val="en-US"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rFonts w:eastAsia="Times New Roman" w:cs="Times New Roman"/>
        <w:sz w:val="16"/>
        <w:szCs w:val="24"/>
        <w:lang w:val="en-US" w:eastAsia="de-DE"/>
      </w:rPr>
      <w:t>PR_7775_ENG_Change_of_Management</w:t>
    </w:r>
    <w:r>
      <w:rPr>
        <w:rFonts w:eastAsia="Times New Roman" w:cs="Times New Roman"/>
        <w:szCs w:val="20"/>
        <w:lang w:val="en-US" w:eastAsia="de-DE"/>
      </w:rPr>
      <w:tab/>
    </w:r>
    <w:r>
      <w:rPr>
        <w:rFonts w:eastAsia="Times New Roman" w:cs="Times New Roman"/>
        <w:noProof/>
        <w:szCs w:val="20"/>
        <w:lang w:val="en-US"/>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epperl-fuch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566</Words>
  <Characters>3573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10</cp:revision>
  <dcterms:created xsi:type="dcterms:W3CDTF">2023-04-26T13:26:00Z</dcterms:created>
  <dcterms:modified xsi:type="dcterms:W3CDTF">2025-03-18T17:45:00Z</dcterms:modified>
</cp:coreProperties>
</file>